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C9" w:rsidRDefault="00300CC9" w:rsidP="00300CC9">
      <w:pPr>
        <w:ind w:firstLine="7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635A0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E159D61" wp14:editId="4E43974F">
            <wp:extent cx="4676775" cy="3419475"/>
            <wp:effectExtent l="0" t="0" r="9525" b="9525"/>
            <wp:docPr id="1" name="Picture 1" descr="IMTAC 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TAC LOGO_MO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CC9" w:rsidRDefault="00300CC9" w:rsidP="00300CC9">
      <w:pPr>
        <w:rPr>
          <w:rFonts w:ascii="Arial" w:hAnsi="Arial" w:cs="Arial"/>
          <w:b/>
          <w:sz w:val="36"/>
          <w:szCs w:val="36"/>
        </w:rPr>
      </w:pPr>
    </w:p>
    <w:p w:rsidR="00300CC9" w:rsidRPr="00300CC9" w:rsidRDefault="00300CC9" w:rsidP="00300CC9">
      <w:pPr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300CC9">
        <w:rPr>
          <w:rFonts w:ascii="Arial" w:hAnsi="Arial" w:cs="Arial"/>
          <w:b/>
          <w:sz w:val="36"/>
          <w:szCs w:val="36"/>
        </w:rPr>
        <w:t>Imtac</w:t>
      </w:r>
      <w:proofErr w:type="spellEnd"/>
      <w:r w:rsidRPr="00300CC9">
        <w:rPr>
          <w:rFonts w:ascii="Arial" w:hAnsi="Arial" w:cs="Arial"/>
          <w:b/>
          <w:sz w:val="36"/>
          <w:szCs w:val="36"/>
        </w:rPr>
        <w:t xml:space="preserve"> statement on cycling</w:t>
      </w:r>
    </w:p>
    <w:p w:rsidR="00300CC9" w:rsidRPr="00E635A0" w:rsidRDefault="00300CC9" w:rsidP="00300CC9">
      <w:pPr>
        <w:ind w:firstLine="720"/>
        <w:rPr>
          <w:rFonts w:ascii="Arial" w:hAnsi="Arial" w:cs="Arial"/>
          <w:b/>
          <w:sz w:val="28"/>
          <w:szCs w:val="28"/>
        </w:rPr>
      </w:pPr>
    </w:p>
    <w:p w:rsidR="00300CC9" w:rsidRPr="00E635A0" w:rsidRDefault="00300CC9" w:rsidP="00300CC9">
      <w:pPr>
        <w:rPr>
          <w:rFonts w:ascii="Arial" w:hAnsi="Arial" w:cs="Arial"/>
          <w:b/>
          <w:bCs/>
          <w:sz w:val="28"/>
          <w:szCs w:val="28"/>
        </w:rPr>
      </w:pPr>
    </w:p>
    <w:p w:rsidR="00300CC9" w:rsidRPr="00E635A0" w:rsidRDefault="00300CC9" w:rsidP="00300CC9">
      <w:pPr>
        <w:ind w:left="4320" w:firstLine="720"/>
        <w:rPr>
          <w:rFonts w:ascii="Arial" w:hAnsi="Arial" w:cs="Arial"/>
          <w:b/>
          <w:sz w:val="36"/>
          <w:szCs w:val="36"/>
        </w:rPr>
      </w:pPr>
      <w:r w:rsidRPr="00E635A0">
        <w:rPr>
          <w:rFonts w:ascii="Arial" w:hAnsi="Arial" w:cs="Arial"/>
          <w:b/>
          <w:sz w:val="36"/>
          <w:szCs w:val="36"/>
        </w:rPr>
        <w:t xml:space="preserve"> (</w:t>
      </w:r>
      <w:r>
        <w:rPr>
          <w:rFonts w:ascii="Arial" w:hAnsi="Arial" w:cs="Arial"/>
          <w:b/>
          <w:sz w:val="36"/>
          <w:szCs w:val="36"/>
        </w:rPr>
        <w:t xml:space="preserve">Final </w:t>
      </w:r>
      <w:r w:rsidRPr="00E635A0">
        <w:rPr>
          <w:rFonts w:ascii="Arial" w:hAnsi="Arial" w:cs="Arial"/>
          <w:b/>
          <w:sz w:val="36"/>
          <w:szCs w:val="36"/>
        </w:rPr>
        <w:t>draft April 2018)</w:t>
      </w:r>
    </w:p>
    <w:p w:rsidR="00300CC9" w:rsidRPr="00E635A0" w:rsidRDefault="00300CC9" w:rsidP="00300CC9">
      <w:pPr>
        <w:rPr>
          <w:rFonts w:ascii="Arial" w:hAnsi="Arial" w:cs="Arial"/>
          <w:b/>
          <w:bCs/>
          <w:sz w:val="28"/>
          <w:szCs w:val="28"/>
        </w:rPr>
      </w:pPr>
    </w:p>
    <w:p w:rsidR="00300CC9" w:rsidRDefault="00300CC9" w:rsidP="00300CC9">
      <w:pPr>
        <w:rPr>
          <w:rFonts w:ascii="Arial" w:hAnsi="Arial" w:cs="Arial"/>
          <w:bCs/>
          <w:sz w:val="28"/>
          <w:szCs w:val="28"/>
        </w:rPr>
      </w:pPr>
    </w:p>
    <w:p w:rsidR="00300CC9" w:rsidRDefault="00300CC9" w:rsidP="00300CC9">
      <w:pPr>
        <w:rPr>
          <w:rFonts w:ascii="Arial" w:hAnsi="Arial" w:cs="Arial"/>
          <w:bCs/>
          <w:sz w:val="28"/>
          <w:szCs w:val="28"/>
        </w:rPr>
      </w:pPr>
    </w:p>
    <w:p w:rsidR="00300CC9" w:rsidRDefault="00300CC9" w:rsidP="00300CC9">
      <w:pPr>
        <w:rPr>
          <w:rFonts w:ascii="Arial" w:hAnsi="Arial" w:cs="Arial"/>
          <w:bCs/>
          <w:sz w:val="28"/>
          <w:szCs w:val="28"/>
        </w:rPr>
      </w:pPr>
    </w:p>
    <w:p w:rsidR="00300CC9" w:rsidRDefault="00300CC9" w:rsidP="00300CC9">
      <w:pPr>
        <w:rPr>
          <w:rFonts w:ascii="Arial" w:hAnsi="Arial" w:cs="Arial"/>
          <w:bCs/>
          <w:sz w:val="28"/>
          <w:szCs w:val="28"/>
        </w:rPr>
      </w:pPr>
    </w:p>
    <w:p w:rsidR="00300CC9" w:rsidRPr="00E635A0" w:rsidRDefault="00300CC9" w:rsidP="00300CC9">
      <w:pPr>
        <w:rPr>
          <w:rFonts w:ascii="Arial" w:hAnsi="Arial" w:cs="Arial"/>
          <w:bCs/>
          <w:sz w:val="36"/>
          <w:szCs w:val="36"/>
        </w:rPr>
      </w:pPr>
      <w:proofErr w:type="spellStart"/>
      <w:r w:rsidRPr="00E635A0">
        <w:rPr>
          <w:rFonts w:ascii="Arial" w:hAnsi="Arial" w:cs="Arial"/>
          <w:bCs/>
          <w:sz w:val="36"/>
          <w:szCs w:val="36"/>
        </w:rPr>
        <w:t>Imtac</w:t>
      </w:r>
      <w:proofErr w:type="spellEnd"/>
      <w:r w:rsidRPr="00E635A0">
        <w:rPr>
          <w:rFonts w:ascii="Arial" w:hAnsi="Arial" w:cs="Arial"/>
          <w:bCs/>
          <w:sz w:val="36"/>
          <w:szCs w:val="36"/>
        </w:rPr>
        <w:t xml:space="preserve"> is committed to making information about our work accessible.  Details of how to obtain information in your preferred format are included on the next page.</w:t>
      </w:r>
    </w:p>
    <w:p w:rsidR="00300CC9" w:rsidRPr="00E635A0" w:rsidRDefault="00300CC9" w:rsidP="00300CC9">
      <w:pPr>
        <w:rPr>
          <w:rFonts w:ascii="Arial" w:hAnsi="Arial" w:cs="Arial"/>
          <w:b/>
          <w:sz w:val="28"/>
          <w:szCs w:val="28"/>
        </w:rPr>
      </w:pPr>
      <w:r w:rsidRPr="00E635A0">
        <w:rPr>
          <w:rFonts w:ascii="Arial" w:hAnsi="Arial" w:cs="Arial"/>
          <w:b/>
          <w:sz w:val="28"/>
          <w:szCs w:val="28"/>
        </w:rPr>
        <w:br w:type="page"/>
      </w:r>
      <w:r w:rsidRPr="00E635A0">
        <w:rPr>
          <w:rFonts w:ascii="Arial" w:hAnsi="Arial" w:cs="Arial"/>
          <w:b/>
          <w:sz w:val="28"/>
          <w:szCs w:val="28"/>
        </w:rPr>
        <w:lastRenderedPageBreak/>
        <w:t>Making our information accessible</w:t>
      </w:r>
    </w:p>
    <w:p w:rsidR="00300CC9" w:rsidRPr="00E635A0" w:rsidRDefault="00300CC9" w:rsidP="00300CC9">
      <w:pPr>
        <w:rPr>
          <w:rFonts w:ascii="Arial" w:hAnsi="Arial" w:cs="Arial"/>
          <w:b/>
          <w:sz w:val="28"/>
          <w:szCs w:val="28"/>
        </w:rPr>
      </w:pP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 xml:space="preserve">As an organisation of and for disabled people and older people </w:t>
      </w:r>
      <w:proofErr w:type="spellStart"/>
      <w:r w:rsidRPr="00E635A0">
        <w:rPr>
          <w:rFonts w:ascii="Arial" w:hAnsi="Arial" w:cs="Arial"/>
          <w:sz w:val="28"/>
          <w:szCs w:val="28"/>
        </w:rPr>
        <w:t>Imtac</w:t>
      </w:r>
      <w:proofErr w:type="spellEnd"/>
      <w:r w:rsidRPr="00E635A0">
        <w:rPr>
          <w:rFonts w:ascii="Arial" w:hAnsi="Arial" w:cs="Arial"/>
          <w:sz w:val="28"/>
          <w:szCs w:val="28"/>
        </w:rPr>
        <w:t xml:space="preserve"> recognises that the way information is provided can be a barrier to accessing services and participation in public life.  We are committed to providing information about our work in formats that best suit the needs of individuals.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 xml:space="preserve">All our documents are available in hard copy in 14pt type size as standard.  We also provide word and pdf versions of our documents on our website – </w:t>
      </w:r>
      <w:hyperlink r:id="rId10" w:history="1">
        <w:r w:rsidRPr="00E635A0">
          <w:rPr>
            <w:rStyle w:val="Hyperlink"/>
            <w:rFonts w:ascii="Arial" w:hAnsi="Arial" w:cs="Arial"/>
            <w:sz w:val="28"/>
            <w:szCs w:val="28"/>
          </w:rPr>
          <w:t>www.imtac.org.uk</w:t>
        </w:r>
      </w:hyperlink>
      <w:r w:rsidRPr="00E635A0">
        <w:rPr>
          <w:rFonts w:ascii="Arial" w:hAnsi="Arial" w:cs="Arial"/>
          <w:sz w:val="28"/>
          <w:szCs w:val="28"/>
        </w:rPr>
        <w:t>.  In addition we will provide information in a range of other formats.  These formats include: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</w:p>
    <w:p w:rsidR="00300CC9" w:rsidRPr="00E635A0" w:rsidRDefault="00300CC9" w:rsidP="00300CC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Large print</w:t>
      </w:r>
    </w:p>
    <w:p w:rsidR="00300CC9" w:rsidRPr="00E635A0" w:rsidRDefault="00300CC9" w:rsidP="00300CC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Audio cassette or CD</w:t>
      </w:r>
    </w:p>
    <w:p w:rsidR="00300CC9" w:rsidRPr="00E635A0" w:rsidRDefault="00300CC9" w:rsidP="00300CC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Daisy disc</w:t>
      </w:r>
    </w:p>
    <w:p w:rsidR="00300CC9" w:rsidRPr="00E635A0" w:rsidRDefault="00300CC9" w:rsidP="00300CC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Braille</w:t>
      </w:r>
    </w:p>
    <w:p w:rsidR="00300CC9" w:rsidRPr="00E635A0" w:rsidRDefault="00300CC9" w:rsidP="00300CC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Electronic copies on disc or via email in PDF or word</w:t>
      </w:r>
    </w:p>
    <w:p w:rsidR="00300CC9" w:rsidRPr="00E635A0" w:rsidRDefault="00300CC9" w:rsidP="00300CC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Easy read</w:t>
      </w:r>
    </w:p>
    <w:p w:rsidR="00300CC9" w:rsidRPr="00E635A0" w:rsidRDefault="00300CC9" w:rsidP="00300CC9">
      <w:pPr>
        <w:numPr>
          <w:ilvl w:val="0"/>
          <w:numId w:val="6"/>
        </w:numPr>
        <w:spacing w:line="276" w:lineRule="auto"/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Information about our work in other languages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If you would like this publication in any of the formats listed above or if you have any other information requirements please contact: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Michael Lorimer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proofErr w:type="spellStart"/>
      <w:r w:rsidRPr="00E635A0">
        <w:rPr>
          <w:rFonts w:ascii="Arial" w:hAnsi="Arial" w:cs="Arial"/>
          <w:sz w:val="28"/>
          <w:szCs w:val="28"/>
        </w:rPr>
        <w:t>Imtac</w:t>
      </w:r>
      <w:proofErr w:type="spellEnd"/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Titanic Suites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10-18 Adelaide Street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proofErr w:type="gramStart"/>
      <w:r w:rsidRPr="00E635A0">
        <w:rPr>
          <w:rFonts w:ascii="Arial" w:hAnsi="Arial" w:cs="Arial"/>
          <w:sz w:val="28"/>
          <w:szCs w:val="28"/>
        </w:rPr>
        <w:t>Belfast  BT2</w:t>
      </w:r>
      <w:proofErr w:type="gramEnd"/>
      <w:r w:rsidRPr="00E635A0">
        <w:rPr>
          <w:rFonts w:ascii="Arial" w:hAnsi="Arial" w:cs="Arial"/>
          <w:sz w:val="28"/>
          <w:szCs w:val="28"/>
        </w:rPr>
        <w:t xml:space="preserve"> 8FE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Telephone/</w:t>
      </w:r>
      <w:proofErr w:type="spellStart"/>
      <w:r w:rsidRPr="00E635A0">
        <w:rPr>
          <w:rFonts w:ascii="Arial" w:hAnsi="Arial" w:cs="Arial"/>
          <w:sz w:val="28"/>
          <w:szCs w:val="28"/>
        </w:rPr>
        <w:t>Textphone</w:t>
      </w:r>
      <w:proofErr w:type="spellEnd"/>
      <w:r w:rsidRPr="00E635A0">
        <w:rPr>
          <w:rFonts w:ascii="Arial" w:hAnsi="Arial" w:cs="Arial"/>
          <w:sz w:val="28"/>
          <w:szCs w:val="28"/>
        </w:rPr>
        <w:t>: 028 9072 6020</w:t>
      </w:r>
    </w:p>
    <w:p w:rsidR="00300CC9" w:rsidRPr="00E635A0" w:rsidRDefault="00300CC9" w:rsidP="00300CC9">
      <w:pPr>
        <w:rPr>
          <w:rFonts w:ascii="Arial" w:hAnsi="Arial" w:cs="Arial"/>
          <w:sz w:val="28"/>
          <w:szCs w:val="28"/>
        </w:rPr>
      </w:pPr>
      <w:r w:rsidRPr="00E635A0">
        <w:rPr>
          <w:rFonts w:ascii="Arial" w:hAnsi="Arial" w:cs="Arial"/>
          <w:sz w:val="28"/>
          <w:szCs w:val="28"/>
        </w:rPr>
        <w:t>Email:</w:t>
      </w:r>
      <w:r w:rsidRPr="00E635A0">
        <w:rPr>
          <w:rFonts w:ascii="Arial" w:hAnsi="Arial" w:cs="Arial"/>
          <w:sz w:val="28"/>
          <w:szCs w:val="28"/>
        </w:rPr>
        <w:tab/>
      </w:r>
      <w:hyperlink r:id="rId11" w:history="1">
        <w:r w:rsidRPr="00E635A0">
          <w:rPr>
            <w:rStyle w:val="Hyperlink"/>
            <w:rFonts w:ascii="Arial" w:hAnsi="Arial" w:cs="Arial"/>
            <w:sz w:val="28"/>
            <w:szCs w:val="28"/>
          </w:rPr>
          <w:t>info@imtac.org.uk</w:t>
        </w:r>
      </w:hyperlink>
    </w:p>
    <w:p w:rsidR="00F04FBD" w:rsidRDefault="00F04FBD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300CC9" w:rsidRDefault="00300CC9" w:rsidP="009E7A5C">
      <w:pPr>
        <w:rPr>
          <w:rFonts w:ascii="Arial" w:hAnsi="Arial" w:cs="Arial"/>
          <w:b/>
          <w:sz w:val="28"/>
          <w:szCs w:val="28"/>
        </w:rPr>
      </w:pPr>
    </w:p>
    <w:p w:rsidR="009E7A5C" w:rsidRDefault="00300CC9" w:rsidP="009E7A5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About </w:t>
      </w:r>
      <w:proofErr w:type="spellStart"/>
      <w:r>
        <w:rPr>
          <w:rFonts w:ascii="Arial" w:hAnsi="Arial" w:cs="Arial"/>
          <w:b/>
          <w:sz w:val="28"/>
          <w:szCs w:val="28"/>
        </w:rPr>
        <w:t>Imtac</w:t>
      </w:r>
      <w:proofErr w:type="spellEnd"/>
    </w:p>
    <w:p w:rsidR="009E7A5C" w:rsidRDefault="009E7A5C" w:rsidP="009E7A5C">
      <w:pPr>
        <w:rPr>
          <w:rFonts w:ascii="Arial" w:hAnsi="Arial" w:cs="Arial"/>
          <w:b/>
          <w:sz w:val="28"/>
          <w:szCs w:val="28"/>
        </w:rPr>
      </w:pPr>
    </w:p>
    <w:p w:rsidR="009E7A5C" w:rsidRDefault="009E7A5C" w:rsidP="004D079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is a committee of disabled peo</w:t>
      </w:r>
      <w:r w:rsidR="004D0790">
        <w:rPr>
          <w:rFonts w:ascii="Arial" w:hAnsi="Arial" w:cs="Arial"/>
          <w:sz w:val="28"/>
          <w:szCs w:val="28"/>
        </w:rPr>
        <w:t xml:space="preserve">ple and older people as well as </w:t>
      </w:r>
      <w:r>
        <w:rPr>
          <w:rFonts w:ascii="Arial" w:hAnsi="Arial" w:cs="Arial"/>
          <w:sz w:val="28"/>
          <w:szCs w:val="28"/>
        </w:rPr>
        <w:t xml:space="preserve">others including key transport professionals.  </w:t>
      </w:r>
      <w:r w:rsidR="004D0790">
        <w:rPr>
          <w:rFonts w:ascii="Arial" w:hAnsi="Arial" w:cs="Arial"/>
          <w:sz w:val="28"/>
          <w:szCs w:val="28"/>
        </w:rPr>
        <w:t>Its</w:t>
      </w:r>
      <w:r>
        <w:rPr>
          <w:rFonts w:ascii="Arial" w:hAnsi="Arial" w:cs="Arial"/>
          <w:sz w:val="28"/>
          <w:szCs w:val="28"/>
        </w:rPr>
        <w:t xml:space="preserve"> role is to advise Government and others in Northern Ireland on issues that affect the mobility of older people and disabled people.</w:t>
      </w:r>
    </w:p>
    <w:p w:rsidR="009E7A5C" w:rsidRDefault="009E7A5C" w:rsidP="009E7A5C">
      <w:pPr>
        <w:rPr>
          <w:rFonts w:ascii="Arial" w:hAnsi="Arial" w:cs="Arial"/>
          <w:sz w:val="28"/>
          <w:szCs w:val="28"/>
        </w:rPr>
      </w:pPr>
    </w:p>
    <w:p w:rsidR="009E7A5C" w:rsidRDefault="004D0790" w:rsidP="004D07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9E7A5C">
        <w:rPr>
          <w:rFonts w:ascii="Arial" w:hAnsi="Arial" w:cs="Arial"/>
          <w:sz w:val="28"/>
          <w:szCs w:val="28"/>
        </w:rPr>
        <w:t xml:space="preserve"> aim</w:t>
      </w:r>
      <w:r>
        <w:rPr>
          <w:rFonts w:ascii="Arial" w:hAnsi="Arial" w:cs="Arial"/>
          <w:sz w:val="28"/>
          <w:szCs w:val="28"/>
        </w:rPr>
        <w:t xml:space="preserve"> of the Committee</w:t>
      </w:r>
      <w:r w:rsidR="009E7A5C">
        <w:rPr>
          <w:rFonts w:ascii="Arial" w:hAnsi="Arial" w:cs="Arial"/>
          <w:sz w:val="28"/>
          <w:szCs w:val="28"/>
        </w:rPr>
        <w:t xml:space="preserve"> is to ensure that older people and disabled people have the same opportunities as everyone else to travel when and where they want.</w:t>
      </w:r>
    </w:p>
    <w:p w:rsidR="009E7A5C" w:rsidRDefault="009E7A5C" w:rsidP="009E7A5C">
      <w:pPr>
        <w:rPr>
          <w:rFonts w:ascii="Arial" w:hAnsi="Arial" w:cs="Arial"/>
          <w:sz w:val="28"/>
          <w:szCs w:val="28"/>
        </w:rPr>
      </w:pPr>
    </w:p>
    <w:p w:rsidR="009E7A5C" w:rsidRDefault="004D0790" w:rsidP="004D079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receives support from the Department for Infrastructure (hereafter </w:t>
      </w:r>
      <w:r w:rsidR="004E65CE">
        <w:rPr>
          <w:rFonts w:ascii="Arial" w:hAnsi="Arial" w:cs="Arial"/>
          <w:sz w:val="28"/>
          <w:szCs w:val="28"/>
        </w:rPr>
        <w:t>referred</w:t>
      </w:r>
      <w:r>
        <w:rPr>
          <w:rFonts w:ascii="Arial" w:hAnsi="Arial" w:cs="Arial"/>
          <w:sz w:val="28"/>
          <w:szCs w:val="28"/>
        </w:rPr>
        <w:t xml:space="preserve"> to as the Department).</w:t>
      </w:r>
    </w:p>
    <w:p w:rsidR="009E7A5C" w:rsidRDefault="009E7A5C" w:rsidP="009E7A5C">
      <w:pPr>
        <w:spacing w:before="240" w:after="24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Background</w:t>
      </w:r>
    </w:p>
    <w:p w:rsidR="004D0790" w:rsidRDefault="005E74D1" w:rsidP="009E7A5C">
      <w:pPr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In recent years cycling has had</w:t>
      </w:r>
      <w:r w:rsidR="00222E64">
        <w:rPr>
          <w:rFonts w:ascii="Arial" w:hAnsi="Arial" w:cs="Arial"/>
          <w:color w:val="000000"/>
          <w:sz w:val="28"/>
          <w:szCs w:val="28"/>
        </w:rPr>
        <w:t xml:space="preserve"> a growing profile. This has been reflected in a </w:t>
      </w:r>
      <w:r>
        <w:rPr>
          <w:rFonts w:ascii="Arial" w:hAnsi="Arial" w:cs="Arial"/>
          <w:color w:val="000000"/>
          <w:sz w:val="28"/>
          <w:szCs w:val="28"/>
        </w:rPr>
        <w:t>greater policy focus</w:t>
      </w:r>
      <w:r w:rsidR="00222E64">
        <w:rPr>
          <w:rFonts w:ascii="Arial" w:hAnsi="Arial" w:cs="Arial"/>
          <w:color w:val="000000"/>
          <w:sz w:val="28"/>
          <w:szCs w:val="28"/>
        </w:rPr>
        <w:t xml:space="preserve"> around promoting cycling </w:t>
      </w:r>
      <w:r w:rsidR="00186A2C">
        <w:rPr>
          <w:rFonts w:ascii="Arial" w:hAnsi="Arial" w:cs="Arial"/>
          <w:color w:val="000000"/>
          <w:sz w:val="28"/>
          <w:szCs w:val="28"/>
        </w:rPr>
        <w:t>by</w:t>
      </w:r>
      <w:r w:rsidR="00222E64">
        <w:rPr>
          <w:rFonts w:ascii="Arial" w:hAnsi="Arial" w:cs="Arial"/>
          <w:color w:val="000000"/>
          <w:sz w:val="28"/>
          <w:szCs w:val="28"/>
        </w:rPr>
        <w:t xml:space="preserve"> Government in Northern Ireland, the rest of the United Kingdom and in many other countries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222E64">
        <w:rPr>
          <w:rFonts w:ascii="Arial" w:hAnsi="Arial" w:cs="Arial"/>
          <w:color w:val="000000"/>
          <w:sz w:val="28"/>
          <w:szCs w:val="28"/>
        </w:rPr>
        <w:t>Locally the Bicycle Strategy for Northern Ireland</w:t>
      </w:r>
      <w:r w:rsidR="00222E64">
        <w:rPr>
          <w:rStyle w:val="FootnoteReference"/>
          <w:rFonts w:ascii="Arial" w:hAnsi="Arial" w:cs="Arial"/>
          <w:color w:val="000000"/>
          <w:sz w:val="28"/>
          <w:szCs w:val="28"/>
        </w:rPr>
        <w:footnoteReference w:id="1"/>
      </w:r>
      <w:r w:rsidR="00222E64">
        <w:rPr>
          <w:rFonts w:ascii="Arial" w:hAnsi="Arial" w:cs="Arial"/>
          <w:color w:val="000000"/>
          <w:sz w:val="28"/>
          <w:szCs w:val="28"/>
        </w:rPr>
        <w:t xml:space="preserve"> published by the Department in 2015 aims “to make Northern Ireland a cycling community”.</w:t>
      </w:r>
    </w:p>
    <w:p w:rsidR="00222E64" w:rsidRDefault="00222E64" w:rsidP="009E7A5C">
      <w:pPr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For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Imtac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issues around cycling present two key, and in some ways conflicting, challenges. Firstly some disabled people and older people are cyclists. This includes some disabled </w:t>
      </w:r>
      <w:r w:rsidR="00186A2C">
        <w:rPr>
          <w:rFonts w:ascii="Arial" w:hAnsi="Arial" w:cs="Arial"/>
          <w:color w:val="000000"/>
          <w:sz w:val="28"/>
          <w:szCs w:val="28"/>
        </w:rPr>
        <w:t xml:space="preserve">people who use their cycle as aid to </w:t>
      </w:r>
      <w:r>
        <w:rPr>
          <w:rFonts w:ascii="Arial" w:hAnsi="Arial" w:cs="Arial"/>
          <w:color w:val="000000"/>
          <w:sz w:val="28"/>
          <w:szCs w:val="28"/>
        </w:rPr>
        <w:t>m</w:t>
      </w:r>
      <w:r w:rsidR="00186A2C">
        <w:rPr>
          <w:rFonts w:ascii="Arial" w:hAnsi="Arial" w:cs="Arial"/>
          <w:color w:val="000000"/>
          <w:sz w:val="28"/>
          <w:szCs w:val="28"/>
        </w:rPr>
        <w:t>obility rather than just a mode of travel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="00186A2C"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he Committee has a duty to represent</w:t>
      </w:r>
      <w:r w:rsidR="001051C8">
        <w:rPr>
          <w:rFonts w:ascii="Arial" w:hAnsi="Arial" w:cs="Arial"/>
          <w:color w:val="000000"/>
          <w:sz w:val="28"/>
          <w:szCs w:val="28"/>
        </w:rPr>
        <w:t xml:space="preserve"> and promote</w:t>
      </w:r>
      <w:r>
        <w:rPr>
          <w:rFonts w:ascii="Arial" w:hAnsi="Arial" w:cs="Arial"/>
          <w:color w:val="000000"/>
          <w:sz w:val="28"/>
          <w:szCs w:val="28"/>
        </w:rPr>
        <w:t xml:space="preserve"> the best interests of older people and disabled people who cycle.</w:t>
      </w:r>
    </w:p>
    <w:p w:rsidR="00B9319C" w:rsidRDefault="00186A2C" w:rsidP="009E7A5C">
      <w:pPr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Secondly</w:t>
      </w:r>
      <w:r w:rsidR="004D1669">
        <w:rPr>
          <w:rFonts w:ascii="Arial" w:hAnsi="Arial" w:cs="Arial"/>
          <w:color w:val="000000"/>
          <w:sz w:val="28"/>
          <w:szCs w:val="28"/>
        </w:rPr>
        <w:t xml:space="preserve"> a</w:t>
      </w:r>
      <w:r w:rsidR="00B9319C">
        <w:rPr>
          <w:rFonts w:ascii="Arial" w:hAnsi="Arial" w:cs="Arial"/>
          <w:color w:val="000000"/>
          <w:sz w:val="28"/>
          <w:szCs w:val="28"/>
        </w:rPr>
        <w:t>necdotal evidence locally as well as studies</w:t>
      </w:r>
      <w:r w:rsidR="004D1669">
        <w:rPr>
          <w:rStyle w:val="FootnoteReference"/>
          <w:rFonts w:ascii="Arial" w:hAnsi="Arial" w:cs="Arial"/>
          <w:color w:val="000000"/>
          <w:sz w:val="28"/>
          <w:szCs w:val="28"/>
        </w:rPr>
        <w:footnoteReference w:id="2"/>
      </w:r>
      <w:r w:rsidR="00B9319C">
        <w:rPr>
          <w:rFonts w:ascii="Arial" w:hAnsi="Arial" w:cs="Arial"/>
          <w:color w:val="000000"/>
          <w:sz w:val="28"/>
          <w:szCs w:val="28"/>
        </w:rPr>
        <w:t xml:space="preserve"> elsewhere indicates that conflict between pedestrians and cyclists impacts most negatively on disabled people and older people</w:t>
      </w:r>
      <w:r w:rsidR="004D1669">
        <w:rPr>
          <w:rFonts w:ascii="Arial" w:hAnsi="Arial" w:cs="Arial"/>
          <w:color w:val="000000"/>
          <w:sz w:val="28"/>
          <w:szCs w:val="28"/>
        </w:rPr>
        <w:t>, often leading to people affected avoiding these areas altogether. The</w:t>
      </w:r>
      <w:r w:rsidR="00A03066">
        <w:rPr>
          <w:rFonts w:ascii="Arial" w:hAnsi="Arial" w:cs="Arial"/>
          <w:color w:val="000000"/>
          <w:sz w:val="28"/>
          <w:szCs w:val="28"/>
        </w:rPr>
        <w:t xml:space="preserve"> work of the</w:t>
      </w:r>
      <w:r w:rsidR="004D1669">
        <w:rPr>
          <w:rFonts w:ascii="Arial" w:hAnsi="Arial" w:cs="Arial"/>
          <w:color w:val="000000"/>
          <w:sz w:val="28"/>
          <w:szCs w:val="28"/>
        </w:rPr>
        <w:t xml:space="preserve"> Committee must highlight the major impact conflict between cyclists and pedestrians have on the lives of many older people and disabled people. </w:t>
      </w:r>
      <w:r w:rsidR="00B9319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884359" w:rsidRDefault="004D1669" w:rsidP="009E7A5C">
      <w:pPr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Through</w:t>
      </w:r>
      <w:r w:rsidR="00B87C3B">
        <w:rPr>
          <w:rFonts w:ascii="Arial" w:hAnsi="Arial" w:cs="Arial"/>
          <w:color w:val="000000"/>
          <w:sz w:val="28"/>
          <w:szCs w:val="28"/>
        </w:rPr>
        <w:t xml:space="preserve"> its</w:t>
      </w:r>
      <w:r>
        <w:rPr>
          <w:rFonts w:ascii="Arial" w:hAnsi="Arial" w:cs="Arial"/>
          <w:color w:val="000000"/>
          <w:sz w:val="28"/>
          <w:szCs w:val="28"/>
        </w:rPr>
        <w:t xml:space="preserve"> engagement with policy makers and organisations who promote cycling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Imtac</w:t>
      </w:r>
      <w:proofErr w:type="spellEnd"/>
      <w:r w:rsidR="00B87C3B">
        <w:rPr>
          <w:rFonts w:ascii="Arial" w:hAnsi="Arial" w:cs="Arial"/>
          <w:color w:val="000000"/>
          <w:sz w:val="28"/>
          <w:szCs w:val="28"/>
        </w:rPr>
        <w:t xml:space="preserve"> believes there is a clear desire to make cycling more inclusive and reduce and remove conflict betwe</w:t>
      </w:r>
      <w:r w:rsidR="00163D8D">
        <w:rPr>
          <w:rFonts w:ascii="Arial" w:hAnsi="Arial" w:cs="Arial"/>
          <w:color w:val="000000"/>
          <w:sz w:val="28"/>
          <w:szCs w:val="28"/>
        </w:rPr>
        <w:t xml:space="preserve">en pedestrians and cyclists. Moreover this engagement has also demonstrated the common </w:t>
      </w:r>
      <w:r w:rsidR="00163D8D">
        <w:rPr>
          <w:rFonts w:ascii="Arial" w:hAnsi="Arial" w:cs="Arial"/>
          <w:color w:val="000000"/>
          <w:sz w:val="28"/>
          <w:szCs w:val="28"/>
        </w:rPr>
        <w:lastRenderedPageBreak/>
        <w:t>barriers that affect both pedestrians and cyclists and potential value of working in partnership.</w:t>
      </w:r>
    </w:p>
    <w:p w:rsidR="002B5806" w:rsidRDefault="002B5806" w:rsidP="009E7A5C">
      <w:pPr>
        <w:spacing w:before="240" w:after="24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Imtac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has developed the statement below to</w:t>
      </w:r>
      <w:r w:rsidR="002C1C4E">
        <w:rPr>
          <w:rFonts w:ascii="Arial" w:hAnsi="Arial" w:cs="Arial"/>
          <w:color w:val="000000"/>
          <w:sz w:val="28"/>
          <w:szCs w:val="28"/>
        </w:rPr>
        <w:t xml:space="preserve"> set out its approach to c</w:t>
      </w:r>
      <w:r w:rsidR="003370E8">
        <w:rPr>
          <w:rFonts w:ascii="Arial" w:hAnsi="Arial" w:cs="Arial"/>
          <w:color w:val="000000"/>
          <w:sz w:val="28"/>
          <w:szCs w:val="28"/>
        </w:rPr>
        <w:t xml:space="preserve">ycling </w:t>
      </w:r>
      <w:r w:rsidR="00163D8D">
        <w:rPr>
          <w:rFonts w:ascii="Arial" w:hAnsi="Arial" w:cs="Arial"/>
          <w:color w:val="000000"/>
          <w:sz w:val="28"/>
          <w:szCs w:val="28"/>
        </w:rPr>
        <w:t>informing its position in relation to the delivery of the Bicycle Strategy</w:t>
      </w:r>
      <w:r w:rsidR="000E2436">
        <w:rPr>
          <w:rFonts w:ascii="Arial" w:hAnsi="Arial" w:cs="Arial"/>
          <w:color w:val="000000"/>
          <w:sz w:val="28"/>
          <w:szCs w:val="28"/>
        </w:rPr>
        <w:t xml:space="preserve"> and proposals for a future Belfast Bicycle Network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9E7A5C" w:rsidRDefault="002B5806" w:rsidP="002B5806">
      <w:pPr>
        <w:spacing w:before="240" w:after="24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Statement on cycling</w:t>
      </w:r>
    </w:p>
    <w:p w:rsidR="002B5806" w:rsidRDefault="002B5806" w:rsidP="002B5806">
      <w:pPr>
        <w:spacing w:before="240" w:after="240"/>
        <w:rPr>
          <w:rFonts w:ascii="Arial" w:hAnsi="Arial" w:cs="Arial"/>
          <w:i/>
          <w:color w:val="000000"/>
          <w:sz w:val="28"/>
          <w:szCs w:val="28"/>
        </w:rPr>
      </w:pPr>
      <w:r w:rsidRPr="002B5806">
        <w:rPr>
          <w:rFonts w:ascii="Arial" w:hAnsi="Arial" w:cs="Arial"/>
          <w:i/>
          <w:color w:val="000000"/>
          <w:sz w:val="28"/>
          <w:szCs w:val="28"/>
        </w:rPr>
        <w:t>General principles</w:t>
      </w:r>
    </w:p>
    <w:p w:rsidR="002B5806" w:rsidRPr="002B5806" w:rsidRDefault="002B5806" w:rsidP="002B5806">
      <w:pPr>
        <w:spacing w:before="240" w:after="2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Both pedestrians and cyclists are made vulnerable by a society and public policy framework that gives priority to motorised traffic over people. </w:t>
      </w:r>
      <w:r w:rsidR="00CA2D97">
        <w:rPr>
          <w:rFonts w:ascii="Arial" w:hAnsi="Arial" w:cs="Arial"/>
          <w:color w:val="000000"/>
          <w:sz w:val="28"/>
          <w:szCs w:val="28"/>
        </w:rPr>
        <w:t>Through its work</w:t>
      </w:r>
      <w:r w:rsidR="00163D8D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163D8D">
        <w:rPr>
          <w:rFonts w:ascii="Arial" w:hAnsi="Arial" w:cs="Arial"/>
          <w:color w:val="000000"/>
          <w:sz w:val="28"/>
          <w:szCs w:val="28"/>
        </w:rPr>
        <w:t>Imtac</w:t>
      </w:r>
      <w:proofErr w:type="spellEnd"/>
      <w:r w:rsidR="00163D8D">
        <w:rPr>
          <w:rFonts w:ascii="Arial" w:hAnsi="Arial" w:cs="Arial"/>
          <w:color w:val="000000"/>
          <w:sz w:val="28"/>
          <w:szCs w:val="28"/>
        </w:rPr>
        <w:t xml:space="preserve"> will </w:t>
      </w:r>
      <w:r>
        <w:rPr>
          <w:rFonts w:ascii="Arial" w:hAnsi="Arial" w:cs="Arial"/>
          <w:color w:val="000000"/>
          <w:sz w:val="28"/>
          <w:szCs w:val="28"/>
        </w:rPr>
        <w:t>promote a road users hierarchy where pedes</w:t>
      </w:r>
      <w:r w:rsidR="00981FFF">
        <w:rPr>
          <w:rFonts w:ascii="Arial" w:hAnsi="Arial" w:cs="Arial"/>
          <w:color w:val="000000"/>
          <w:sz w:val="28"/>
          <w:szCs w:val="28"/>
        </w:rPr>
        <w:t>tri</w:t>
      </w:r>
      <w:r w:rsidR="000E2436">
        <w:rPr>
          <w:rFonts w:ascii="Arial" w:hAnsi="Arial" w:cs="Arial"/>
          <w:color w:val="000000"/>
          <w:sz w:val="28"/>
          <w:szCs w:val="28"/>
        </w:rPr>
        <w:t>ans and</w:t>
      </w:r>
      <w:r w:rsidR="00A03066">
        <w:rPr>
          <w:rFonts w:ascii="Arial" w:hAnsi="Arial" w:cs="Arial"/>
          <w:color w:val="000000"/>
          <w:sz w:val="28"/>
          <w:szCs w:val="28"/>
        </w:rPr>
        <w:t xml:space="preserve"> then</w:t>
      </w:r>
      <w:r w:rsidR="000E2436">
        <w:rPr>
          <w:rFonts w:ascii="Arial" w:hAnsi="Arial" w:cs="Arial"/>
          <w:color w:val="000000"/>
          <w:sz w:val="28"/>
          <w:szCs w:val="28"/>
        </w:rPr>
        <w:t xml:space="preserve"> cyclists are given priority</w:t>
      </w:r>
      <w:r w:rsidR="00CA2D97">
        <w:rPr>
          <w:rFonts w:ascii="Arial" w:hAnsi="Arial" w:cs="Arial"/>
          <w:color w:val="000000"/>
          <w:sz w:val="28"/>
          <w:szCs w:val="28"/>
        </w:rPr>
        <w:t xml:space="preserve"> over other road users</w:t>
      </w:r>
      <w:r w:rsidR="00981FFF">
        <w:rPr>
          <w:rFonts w:ascii="Arial" w:hAnsi="Arial" w:cs="Arial"/>
          <w:color w:val="000000"/>
          <w:sz w:val="28"/>
          <w:szCs w:val="28"/>
        </w:rPr>
        <w:t>.</w:t>
      </w:r>
    </w:p>
    <w:p w:rsidR="009E7A5C" w:rsidRDefault="00981FFF" w:rsidP="00C64C19">
      <w:pPr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Imtac’s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attitude towards cycling is unequivocal – cycling is good thing and has overwhelming positive benefits for society and individuals. The Committee supports a policy agenda that promotes and encourages more people to cycle.</w:t>
      </w:r>
    </w:p>
    <w:p w:rsidR="00981FFF" w:rsidRDefault="00981FFF" w:rsidP="00C64C19">
      <w:pPr>
        <w:rPr>
          <w:rFonts w:ascii="Arial" w:hAnsi="Arial" w:cs="Arial"/>
          <w:color w:val="000000"/>
          <w:sz w:val="28"/>
          <w:szCs w:val="28"/>
        </w:rPr>
      </w:pPr>
    </w:p>
    <w:p w:rsidR="00981FFF" w:rsidRDefault="00981FFF" w:rsidP="00C64C19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The Committee </w:t>
      </w:r>
      <w:r w:rsidR="00CB5950">
        <w:rPr>
          <w:rFonts w:ascii="Arial" w:hAnsi="Arial" w:cs="Arial"/>
          <w:color w:val="000000"/>
          <w:sz w:val="28"/>
          <w:szCs w:val="28"/>
        </w:rPr>
        <w:t>firmly believes that cycling should be</w:t>
      </w:r>
      <w:r w:rsidR="002C1C4E">
        <w:rPr>
          <w:rFonts w:ascii="Arial" w:hAnsi="Arial" w:cs="Arial"/>
          <w:color w:val="000000"/>
          <w:sz w:val="28"/>
          <w:szCs w:val="28"/>
        </w:rPr>
        <w:t xml:space="preserve"> an</w:t>
      </w:r>
      <w:r w:rsidR="00CB5950">
        <w:rPr>
          <w:rFonts w:ascii="Arial" w:hAnsi="Arial" w:cs="Arial"/>
          <w:color w:val="000000"/>
          <w:sz w:val="28"/>
          <w:szCs w:val="28"/>
        </w:rPr>
        <w:t xml:space="preserve"> inclusive</w:t>
      </w:r>
      <w:r w:rsidR="00A3245B">
        <w:rPr>
          <w:rFonts w:ascii="Arial" w:hAnsi="Arial" w:cs="Arial"/>
          <w:color w:val="000000"/>
          <w:sz w:val="28"/>
          <w:szCs w:val="28"/>
        </w:rPr>
        <w:t xml:space="preserve"> mode of travel, </w:t>
      </w:r>
      <w:r w:rsidR="00CB5950">
        <w:rPr>
          <w:rFonts w:ascii="Arial" w:hAnsi="Arial" w:cs="Arial"/>
          <w:color w:val="000000"/>
          <w:sz w:val="28"/>
          <w:szCs w:val="28"/>
        </w:rPr>
        <w:t>open to all including older people and disabled people. Inclusivity and accessibility must be mainstreamed in every aspect of cycling policy.</w:t>
      </w:r>
    </w:p>
    <w:p w:rsidR="00CB5950" w:rsidRDefault="00CB5950" w:rsidP="00C64C19">
      <w:pPr>
        <w:rPr>
          <w:rFonts w:ascii="Arial" w:hAnsi="Arial" w:cs="Arial"/>
          <w:color w:val="000000"/>
          <w:sz w:val="28"/>
          <w:szCs w:val="28"/>
        </w:rPr>
      </w:pPr>
    </w:p>
    <w:p w:rsidR="00CB5950" w:rsidRPr="00CB5950" w:rsidRDefault="00CB5950" w:rsidP="00C64C19">
      <w:pPr>
        <w:rPr>
          <w:rFonts w:ascii="Arial" w:hAnsi="Arial" w:cs="Arial"/>
          <w:i/>
          <w:color w:val="000000"/>
          <w:sz w:val="28"/>
          <w:szCs w:val="28"/>
        </w:rPr>
      </w:pPr>
      <w:r w:rsidRPr="00CB5950">
        <w:rPr>
          <w:rFonts w:ascii="Arial" w:hAnsi="Arial" w:cs="Arial"/>
          <w:i/>
          <w:color w:val="000000"/>
          <w:sz w:val="28"/>
          <w:szCs w:val="28"/>
        </w:rPr>
        <w:t>Infrastructure design</w:t>
      </w:r>
    </w:p>
    <w:p w:rsidR="00CB5950" w:rsidRDefault="00CB5950"/>
    <w:p w:rsidR="00CB5950" w:rsidRDefault="00CB595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supports the development of dedicated infrastructure for cyclists. As a default new cycling infrastructure should</w:t>
      </w:r>
      <w:r w:rsidR="00E86BA1">
        <w:rPr>
          <w:rFonts w:ascii="Arial" w:hAnsi="Arial" w:cs="Arial"/>
          <w:sz w:val="28"/>
          <w:szCs w:val="28"/>
        </w:rPr>
        <w:t xml:space="preserve"> be</w:t>
      </w:r>
      <w:r>
        <w:rPr>
          <w:rFonts w:ascii="Arial" w:hAnsi="Arial" w:cs="Arial"/>
          <w:sz w:val="28"/>
          <w:szCs w:val="28"/>
        </w:rPr>
        <w:t xml:space="preserve"> separate</w:t>
      </w:r>
      <w:r w:rsidR="00CA2D97">
        <w:rPr>
          <w:rFonts w:ascii="Arial" w:hAnsi="Arial" w:cs="Arial"/>
          <w:sz w:val="28"/>
          <w:szCs w:val="28"/>
        </w:rPr>
        <w:t xml:space="preserve"> and segregated</w:t>
      </w:r>
      <w:r>
        <w:rPr>
          <w:rFonts w:ascii="Arial" w:hAnsi="Arial" w:cs="Arial"/>
          <w:sz w:val="28"/>
          <w:szCs w:val="28"/>
        </w:rPr>
        <w:t xml:space="preserve"> from both pedestrians and motorised traffic and be designed </w:t>
      </w:r>
      <w:r w:rsidR="00E86BA1">
        <w:rPr>
          <w:rFonts w:ascii="Arial" w:hAnsi="Arial" w:cs="Arial"/>
          <w:sz w:val="28"/>
          <w:szCs w:val="28"/>
        </w:rPr>
        <w:t>to be accessible to people who use a range of cycles.</w:t>
      </w:r>
    </w:p>
    <w:p w:rsidR="00E86BA1" w:rsidRDefault="00E86BA1">
      <w:pPr>
        <w:rPr>
          <w:rFonts w:ascii="Arial" w:hAnsi="Arial" w:cs="Arial"/>
          <w:sz w:val="28"/>
          <w:szCs w:val="28"/>
        </w:rPr>
      </w:pPr>
    </w:p>
    <w:p w:rsidR="00E86BA1" w:rsidRDefault="00E86B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Committee does not support the use of shared footways between cyclists and pedestrians</w:t>
      </w:r>
      <w:r w:rsidR="009E708F">
        <w:rPr>
          <w:rFonts w:ascii="Arial" w:hAnsi="Arial" w:cs="Arial"/>
          <w:sz w:val="28"/>
          <w:szCs w:val="28"/>
        </w:rPr>
        <w:t xml:space="preserve"> as</w:t>
      </w:r>
      <w:r w:rsidR="000E2436">
        <w:rPr>
          <w:rFonts w:ascii="Arial" w:hAnsi="Arial" w:cs="Arial"/>
          <w:sz w:val="28"/>
          <w:szCs w:val="28"/>
        </w:rPr>
        <w:t xml:space="preserve"> their use impacts most negatively on the lives of older people and disabled people. More </w:t>
      </w:r>
      <w:r w:rsidR="009E708F">
        <w:rPr>
          <w:rFonts w:ascii="Arial" w:hAnsi="Arial" w:cs="Arial"/>
          <w:sz w:val="28"/>
          <w:szCs w:val="28"/>
        </w:rPr>
        <w:t>general</w:t>
      </w:r>
      <w:r w:rsidR="000E2436">
        <w:rPr>
          <w:rFonts w:ascii="Arial" w:hAnsi="Arial" w:cs="Arial"/>
          <w:sz w:val="28"/>
          <w:szCs w:val="28"/>
        </w:rPr>
        <w:t>ly</w:t>
      </w:r>
      <w:r w:rsidR="009E708F">
        <w:rPr>
          <w:rFonts w:ascii="Arial" w:hAnsi="Arial" w:cs="Arial"/>
          <w:sz w:val="28"/>
          <w:szCs w:val="28"/>
        </w:rPr>
        <w:t xml:space="preserve"> th</w:t>
      </w:r>
      <w:r w:rsidR="003370E8">
        <w:rPr>
          <w:rFonts w:ascii="Arial" w:hAnsi="Arial" w:cs="Arial"/>
          <w:sz w:val="28"/>
          <w:szCs w:val="28"/>
        </w:rPr>
        <w:t>is</w:t>
      </w:r>
      <w:r w:rsidR="000E2436">
        <w:rPr>
          <w:rFonts w:ascii="Arial" w:hAnsi="Arial" w:cs="Arial"/>
          <w:sz w:val="28"/>
          <w:szCs w:val="28"/>
        </w:rPr>
        <w:t xml:space="preserve"> type of</w:t>
      </w:r>
      <w:r w:rsidR="003370E8">
        <w:rPr>
          <w:rFonts w:ascii="Arial" w:hAnsi="Arial" w:cs="Arial"/>
          <w:sz w:val="28"/>
          <w:szCs w:val="28"/>
        </w:rPr>
        <w:t xml:space="preserve"> infrastructure</w:t>
      </w:r>
      <w:r w:rsidR="009E708F">
        <w:rPr>
          <w:rFonts w:ascii="Arial" w:hAnsi="Arial" w:cs="Arial"/>
          <w:sz w:val="28"/>
          <w:szCs w:val="28"/>
        </w:rPr>
        <w:t xml:space="preserve"> </w:t>
      </w:r>
      <w:r w:rsidR="00CA2D97">
        <w:rPr>
          <w:rFonts w:ascii="Arial" w:hAnsi="Arial" w:cs="Arial"/>
          <w:sz w:val="28"/>
          <w:szCs w:val="28"/>
        </w:rPr>
        <w:t xml:space="preserve">is </w:t>
      </w:r>
      <w:r w:rsidR="000E2436">
        <w:rPr>
          <w:rFonts w:ascii="Arial" w:hAnsi="Arial" w:cs="Arial"/>
          <w:sz w:val="28"/>
          <w:szCs w:val="28"/>
        </w:rPr>
        <w:t xml:space="preserve">likely to </w:t>
      </w:r>
      <w:r w:rsidR="009E708F">
        <w:rPr>
          <w:rFonts w:ascii="Arial" w:hAnsi="Arial" w:cs="Arial"/>
          <w:sz w:val="28"/>
          <w:szCs w:val="28"/>
        </w:rPr>
        <w:t xml:space="preserve">create conflict between users and frustrate </w:t>
      </w:r>
      <w:r w:rsidR="00A3245B">
        <w:rPr>
          <w:rFonts w:ascii="Arial" w:hAnsi="Arial" w:cs="Arial"/>
          <w:sz w:val="28"/>
          <w:szCs w:val="28"/>
        </w:rPr>
        <w:t xml:space="preserve">both </w:t>
      </w:r>
      <w:r w:rsidR="009E708F">
        <w:rPr>
          <w:rFonts w:ascii="Arial" w:hAnsi="Arial" w:cs="Arial"/>
          <w:sz w:val="28"/>
          <w:szCs w:val="28"/>
        </w:rPr>
        <w:t>cyclists and pedestrians in equal measure</w:t>
      </w:r>
      <w:r>
        <w:rPr>
          <w:rFonts w:ascii="Arial" w:hAnsi="Arial" w:cs="Arial"/>
          <w:sz w:val="28"/>
          <w:szCs w:val="28"/>
        </w:rPr>
        <w:t>.</w:t>
      </w:r>
    </w:p>
    <w:p w:rsidR="00E86BA1" w:rsidRDefault="00E86BA1">
      <w:pPr>
        <w:rPr>
          <w:rFonts w:ascii="Arial" w:hAnsi="Arial" w:cs="Arial"/>
          <w:sz w:val="28"/>
          <w:szCs w:val="28"/>
        </w:rPr>
      </w:pPr>
    </w:p>
    <w:p w:rsidR="00E86BA1" w:rsidRDefault="00E86BA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recognises that some interaction between cyclists and pedestrians is unavoidable – where this occurs the Committee expects infrastructure</w:t>
      </w:r>
      <w:r w:rsidR="009E708F">
        <w:rPr>
          <w:rFonts w:ascii="Arial" w:hAnsi="Arial" w:cs="Arial"/>
          <w:sz w:val="28"/>
          <w:szCs w:val="28"/>
        </w:rPr>
        <w:t xml:space="preserve"> will be designed to give</w:t>
      </w:r>
      <w:r>
        <w:rPr>
          <w:rFonts w:ascii="Arial" w:hAnsi="Arial" w:cs="Arial"/>
          <w:sz w:val="28"/>
          <w:szCs w:val="28"/>
        </w:rPr>
        <w:t xml:space="preserve"> pedestrians priority</w:t>
      </w:r>
      <w:r w:rsidR="009E708F">
        <w:rPr>
          <w:rFonts w:ascii="Arial" w:hAnsi="Arial" w:cs="Arial"/>
          <w:sz w:val="28"/>
          <w:szCs w:val="28"/>
        </w:rPr>
        <w:t xml:space="preserve"> over cyclists</w:t>
      </w:r>
      <w:r>
        <w:rPr>
          <w:rFonts w:ascii="Arial" w:hAnsi="Arial" w:cs="Arial"/>
          <w:sz w:val="28"/>
          <w:szCs w:val="28"/>
        </w:rPr>
        <w:t>.</w:t>
      </w:r>
    </w:p>
    <w:p w:rsidR="009E708F" w:rsidRDefault="009E708F">
      <w:pPr>
        <w:rPr>
          <w:rFonts w:ascii="Arial" w:hAnsi="Arial" w:cs="Arial"/>
          <w:sz w:val="28"/>
          <w:szCs w:val="28"/>
        </w:rPr>
      </w:pPr>
    </w:p>
    <w:p w:rsidR="00E86BA1" w:rsidRDefault="00E86BA1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supports the creation of more traffic free paths and routes including new Greenways</w:t>
      </w:r>
      <w:r w:rsidR="00A03066">
        <w:rPr>
          <w:rFonts w:ascii="Arial" w:hAnsi="Arial" w:cs="Arial"/>
          <w:sz w:val="28"/>
          <w:szCs w:val="28"/>
        </w:rPr>
        <w:t xml:space="preserve"> which involve shared use</w:t>
      </w:r>
      <w:r w:rsidR="009E708F">
        <w:rPr>
          <w:rFonts w:ascii="Arial" w:hAnsi="Arial" w:cs="Arial"/>
          <w:sz w:val="28"/>
          <w:szCs w:val="28"/>
        </w:rPr>
        <w:t>. Great care is required to ensure the design of this infrastructure is inclusive and accessible to all and minimises conflict between pedestrians and cyclists.</w:t>
      </w:r>
    </w:p>
    <w:p w:rsidR="009E708F" w:rsidRDefault="009E708F">
      <w:pPr>
        <w:rPr>
          <w:rFonts w:ascii="Arial" w:hAnsi="Arial" w:cs="Arial"/>
          <w:sz w:val="28"/>
          <w:szCs w:val="28"/>
        </w:rPr>
      </w:pPr>
    </w:p>
    <w:p w:rsidR="009E708F" w:rsidRDefault="009E708F">
      <w:pPr>
        <w:rPr>
          <w:rFonts w:ascii="Arial" w:hAnsi="Arial" w:cs="Arial"/>
          <w:i/>
          <w:sz w:val="28"/>
          <w:szCs w:val="28"/>
        </w:rPr>
      </w:pPr>
      <w:r w:rsidRPr="009E708F">
        <w:rPr>
          <w:rFonts w:ascii="Arial" w:hAnsi="Arial" w:cs="Arial"/>
          <w:i/>
          <w:sz w:val="28"/>
          <w:szCs w:val="28"/>
        </w:rPr>
        <w:t>Education</w:t>
      </w:r>
      <w:r w:rsidR="000E2436">
        <w:rPr>
          <w:rFonts w:ascii="Arial" w:hAnsi="Arial" w:cs="Arial"/>
          <w:i/>
          <w:sz w:val="28"/>
          <w:szCs w:val="28"/>
        </w:rPr>
        <w:t xml:space="preserve"> and promotion</w:t>
      </w:r>
    </w:p>
    <w:p w:rsidR="009E708F" w:rsidRDefault="009E708F">
      <w:pPr>
        <w:rPr>
          <w:rFonts w:ascii="Arial" w:hAnsi="Arial" w:cs="Arial"/>
          <w:sz w:val="28"/>
          <w:szCs w:val="28"/>
        </w:rPr>
      </w:pPr>
    </w:p>
    <w:p w:rsidR="009E708F" w:rsidRDefault="009E708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recognises that conflict</w:t>
      </w:r>
      <w:r w:rsidR="00300CC9">
        <w:rPr>
          <w:rFonts w:ascii="Arial" w:hAnsi="Arial" w:cs="Arial"/>
          <w:sz w:val="28"/>
          <w:szCs w:val="28"/>
        </w:rPr>
        <w:t xml:space="preserve"> exists between motorists, cyclists and pedestrians and that this conflict can </w:t>
      </w:r>
      <w:r>
        <w:rPr>
          <w:rFonts w:ascii="Arial" w:hAnsi="Arial" w:cs="Arial"/>
          <w:sz w:val="28"/>
          <w:szCs w:val="28"/>
        </w:rPr>
        <w:t>be created by the behaviour of some</w:t>
      </w:r>
      <w:r w:rsidR="00300CC9">
        <w:rPr>
          <w:rFonts w:ascii="Arial" w:hAnsi="Arial" w:cs="Arial"/>
          <w:sz w:val="28"/>
          <w:szCs w:val="28"/>
        </w:rPr>
        <w:t xml:space="preserve"> motorists,</w:t>
      </w:r>
      <w:r>
        <w:rPr>
          <w:rFonts w:ascii="Arial" w:hAnsi="Arial" w:cs="Arial"/>
          <w:sz w:val="28"/>
          <w:szCs w:val="28"/>
        </w:rPr>
        <w:t xml:space="preserve"> cyclists and pedestrians. </w:t>
      </w:r>
      <w:r w:rsidR="00300CC9">
        <w:rPr>
          <w:rFonts w:ascii="Arial" w:hAnsi="Arial" w:cs="Arial"/>
          <w:sz w:val="28"/>
          <w:szCs w:val="28"/>
        </w:rPr>
        <w:t>Education programmes that challenge the behaviours of all road users are essential. For the Committee programmes that promote respect and understanding between pedestrians and cyclists are particularly important.</w:t>
      </w:r>
    </w:p>
    <w:p w:rsidR="009E708F" w:rsidRDefault="009E708F">
      <w:pPr>
        <w:rPr>
          <w:rFonts w:ascii="Arial" w:hAnsi="Arial" w:cs="Arial"/>
          <w:sz w:val="28"/>
          <w:szCs w:val="28"/>
        </w:rPr>
      </w:pPr>
    </w:p>
    <w:p w:rsidR="009E708F" w:rsidRDefault="00CA2D9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expects any initiatives designed to</w:t>
      </w:r>
      <w:r w:rsidR="00A3245B">
        <w:rPr>
          <w:rFonts w:ascii="Arial" w:hAnsi="Arial" w:cs="Arial"/>
          <w:sz w:val="28"/>
          <w:szCs w:val="28"/>
        </w:rPr>
        <w:t xml:space="preserve"> promote</w:t>
      </w:r>
      <w:r>
        <w:rPr>
          <w:rFonts w:ascii="Arial" w:hAnsi="Arial" w:cs="Arial"/>
          <w:sz w:val="28"/>
          <w:szCs w:val="28"/>
        </w:rPr>
        <w:t xml:space="preserve"> increased participation in cycling be inclusive and target</w:t>
      </w:r>
      <w:r w:rsidR="00A3245B">
        <w:rPr>
          <w:rFonts w:ascii="Arial" w:hAnsi="Arial" w:cs="Arial"/>
          <w:sz w:val="28"/>
          <w:szCs w:val="28"/>
        </w:rPr>
        <w:t xml:space="preserve"> increased participation by older people and disabled people</w:t>
      </w:r>
      <w:r w:rsidR="00A3245B" w:rsidRPr="00A3245B">
        <w:rPr>
          <w:rFonts w:ascii="Arial" w:hAnsi="Arial" w:cs="Arial"/>
          <w:sz w:val="28"/>
          <w:szCs w:val="28"/>
        </w:rPr>
        <w:t xml:space="preserve"> </w:t>
      </w:r>
      <w:r w:rsidR="00A3245B">
        <w:rPr>
          <w:rFonts w:ascii="Arial" w:hAnsi="Arial" w:cs="Arial"/>
          <w:sz w:val="28"/>
          <w:szCs w:val="28"/>
        </w:rPr>
        <w:t>in particular.</w:t>
      </w:r>
    </w:p>
    <w:p w:rsidR="00A3245B" w:rsidRDefault="00A3245B">
      <w:pPr>
        <w:rPr>
          <w:rFonts w:ascii="Arial" w:hAnsi="Arial" w:cs="Arial"/>
          <w:sz w:val="28"/>
          <w:szCs w:val="28"/>
        </w:rPr>
      </w:pPr>
    </w:p>
    <w:p w:rsidR="00A3245B" w:rsidRDefault="00A3245B">
      <w:pPr>
        <w:rPr>
          <w:rFonts w:ascii="Arial" w:hAnsi="Arial" w:cs="Arial"/>
          <w:i/>
          <w:sz w:val="28"/>
          <w:szCs w:val="28"/>
        </w:rPr>
      </w:pPr>
      <w:r w:rsidRPr="00A3245B">
        <w:rPr>
          <w:rFonts w:ascii="Arial" w:hAnsi="Arial" w:cs="Arial"/>
          <w:i/>
          <w:sz w:val="28"/>
          <w:szCs w:val="28"/>
        </w:rPr>
        <w:t>Partnership</w:t>
      </w:r>
      <w:r w:rsidR="003370E8">
        <w:rPr>
          <w:rFonts w:ascii="Arial" w:hAnsi="Arial" w:cs="Arial"/>
          <w:i/>
          <w:sz w:val="28"/>
          <w:szCs w:val="28"/>
        </w:rPr>
        <w:t xml:space="preserve"> &amp; collaboration</w:t>
      </w:r>
    </w:p>
    <w:p w:rsidR="00A3245B" w:rsidRDefault="00A3245B">
      <w:pPr>
        <w:rPr>
          <w:rFonts w:ascii="Arial" w:hAnsi="Arial" w:cs="Arial"/>
          <w:i/>
          <w:sz w:val="28"/>
          <w:szCs w:val="28"/>
        </w:rPr>
      </w:pPr>
    </w:p>
    <w:p w:rsidR="00A3245B" w:rsidRPr="00A3245B" w:rsidRDefault="000D5DE5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Imtac</w:t>
      </w:r>
      <w:proofErr w:type="spellEnd"/>
      <w:r>
        <w:rPr>
          <w:rFonts w:ascii="Arial" w:hAnsi="Arial" w:cs="Arial"/>
          <w:sz w:val="28"/>
          <w:szCs w:val="28"/>
        </w:rPr>
        <w:t xml:space="preserve"> believes that effective collaboration between policy makers, cyclists, disabled people and older people is a</w:t>
      </w:r>
      <w:r w:rsidR="003370E8">
        <w:rPr>
          <w:rFonts w:ascii="Arial" w:hAnsi="Arial" w:cs="Arial"/>
          <w:sz w:val="28"/>
          <w:szCs w:val="28"/>
        </w:rPr>
        <w:t>n essential</w:t>
      </w:r>
      <w:r>
        <w:rPr>
          <w:rFonts w:ascii="Arial" w:hAnsi="Arial" w:cs="Arial"/>
          <w:sz w:val="28"/>
          <w:szCs w:val="28"/>
        </w:rPr>
        <w:t xml:space="preserve"> component</w:t>
      </w:r>
      <w:r w:rsidR="003370E8">
        <w:rPr>
          <w:rFonts w:ascii="Arial" w:hAnsi="Arial" w:cs="Arial"/>
          <w:sz w:val="28"/>
          <w:szCs w:val="28"/>
        </w:rPr>
        <w:t xml:space="preserve"> of</w:t>
      </w:r>
      <w:r>
        <w:rPr>
          <w:rFonts w:ascii="Arial" w:hAnsi="Arial" w:cs="Arial"/>
          <w:sz w:val="28"/>
          <w:szCs w:val="28"/>
        </w:rPr>
        <w:t xml:space="preserve"> designing</w:t>
      </w:r>
      <w:r w:rsidR="00CA2D97">
        <w:rPr>
          <w:rFonts w:ascii="Arial" w:hAnsi="Arial" w:cs="Arial"/>
          <w:sz w:val="28"/>
          <w:szCs w:val="28"/>
        </w:rPr>
        <w:t xml:space="preserve"> and implementing</w:t>
      </w:r>
      <w:r>
        <w:rPr>
          <w:rFonts w:ascii="Arial" w:hAnsi="Arial" w:cs="Arial"/>
          <w:sz w:val="28"/>
          <w:szCs w:val="28"/>
        </w:rPr>
        <w:t xml:space="preserve"> successful a</w:t>
      </w:r>
      <w:r w:rsidR="003370E8">
        <w:rPr>
          <w:rFonts w:ascii="Arial" w:hAnsi="Arial" w:cs="Arial"/>
          <w:sz w:val="28"/>
          <w:szCs w:val="28"/>
        </w:rPr>
        <w:t>nd inclusive</w:t>
      </w:r>
      <w:r w:rsidR="00A03066">
        <w:rPr>
          <w:rFonts w:ascii="Arial" w:hAnsi="Arial" w:cs="Arial"/>
          <w:sz w:val="28"/>
          <w:szCs w:val="28"/>
        </w:rPr>
        <w:t xml:space="preserve"> cycling</w:t>
      </w:r>
      <w:r w:rsidR="003370E8">
        <w:rPr>
          <w:rFonts w:ascii="Arial" w:hAnsi="Arial" w:cs="Arial"/>
          <w:sz w:val="28"/>
          <w:szCs w:val="28"/>
        </w:rPr>
        <w:t xml:space="preserve"> infrastructure and </w:t>
      </w:r>
      <w:r>
        <w:rPr>
          <w:rFonts w:ascii="Arial" w:hAnsi="Arial" w:cs="Arial"/>
          <w:sz w:val="28"/>
          <w:szCs w:val="28"/>
        </w:rPr>
        <w:t xml:space="preserve">education programmes. </w:t>
      </w:r>
    </w:p>
    <w:p w:rsidR="009E708F" w:rsidRPr="009E708F" w:rsidRDefault="009E708F">
      <w:pPr>
        <w:rPr>
          <w:rFonts w:ascii="Arial" w:hAnsi="Arial" w:cs="Arial"/>
          <w:sz w:val="28"/>
          <w:szCs w:val="28"/>
        </w:rPr>
      </w:pPr>
    </w:p>
    <w:sectPr w:rsidR="009E708F" w:rsidRPr="009E708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CD" w:rsidRDefault="00DE6CCD" w:rsidP="009E7A5C">
      <w:r>
        <w:separator/>
      </w:r>
    </w:p>
  </w:endnote>
  <w:endnote w:type="continuationSeparator" w:id="0">
    <w:p w:rsidR="00DE6CCD" w:rsidRDefault="00DE6CCD" w:rsidP="009E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762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5CE" w:rsidRDefault="004E65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65CE" w:rsidRDefault="004E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CD" w:rsidRDefault="00DE6CCD" w:rsidP="009E7A5C">
      <w:r>
        <w:separator/>
      </w:r>
    </w:p>
  </w:footnote>
  <w:footnote w:type="continuationSeparator" w:id="0">
    <w:p w:rsidR="00DE6CCD" w:rsidRDefault="00DE6CCD" w:rsidP="009E7A5C">
      <w:r>
        <w:continuationSeparator/>
      </w:r>
    </w:p>
  </w:footnote>
  <w:footnote w:id="1">
    <w:p w:rsidR="00222E64" w:rsidRDefault="00222E6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A Bicycle Strategy for Northern Ireland (August 2015)</w:t>
        </w:r>
      </w:hyperlink>
      <w:r>
        <w:t xml:space="preserve"> </w:t>
      </w:r>
    </w:p>
  </w:footnote>
  <w:footnote w:id="2">
    <w:p w:rsidR="004D1669" w:rsidRDefault="004D1669">
      <w:pPr>
        <w:pStyle w:val="FootnoteText"/>
      </w:pPr>
      <w:r>
        <w:rPr>
          <w:rStyle w:val="FootnoteReference"/>
        </w:rPr>
        <w:footnoteRef/>
      </w:r>
      <w:r>
        <w:t xml:space="preserve"> See for example </w:t>
      </w:r>
      <w:hyperlink r:id="rId2" w:history="1">
        <w:r w:rsidRPr="006A285B">
          <w:rPr>
            <w:rStyle w:val="Hyperlink"/>
          </w:rPr>
          <w:t>https://www.livingstreets.org.uk/media/1864/sharing-the-space-report.pdf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3FC9"/>
    <w:multiLevelType w:val="hybridMultilevel"/>
    <w:tmpl w:val="7ECE0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76505"/>
    <w:multiLevelType w:val="hybridMultilevel"/>
    <w:tmpl w:val="6FD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56A99"/>
    <w:multiLevelType w:val="hybridMultilevel"/>
    <w:tmpl w:val="7B44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0757D"/>
    <w:multiLevelType w:val="hybridMultilevel"/>
    <w:tmpl w:val="9E9AE8F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55E62023"/>
    <w:multiLevelType w:val="hybridMultilevel"/>
    <w:tmpl w:val="4EE04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5C"/>
    <w:rsid w:val="000571F6"/>
    <w:rsid w:val="000C0C96"/>
    <w:rsid w:val="000D5DE5"/>
    <w:rsid w:val="000E2436"/>
    <w:rsid w:val="001051C8"/>
    <w:rsid w:val="00163D8D"/>
    <w:rsid w:val="00186A2C"/>
    <w:rsid w:val="001B7A20"/>
    <w:rsid w:val="001C5232"/>
    <w:rsid w:val="001E4584"/>
    <w:rsid w:val="00222E64"/>
    <w:rsid w:val="002A36D4"/>
    <w:rsid w:val="002A7738"/>
    <w:rsid w:val="002B5806"/>
    <w:rsid w:val="002C1C4E"/>
    <w:rsid w:val="00300CC9"/>
    <w:rsid w:val="003370E8"/>
    <w:rsid w:val="00410678"/>
    <w:rsid w:val="00412C85"/>
    <w:rsid w:val="004C30DC"/>
    <w:rsid w:val="004D0790"/>
    <w:rsid w:val="004D1669"/>
    <w:rsid w:val="004E65CE"/>
    <w:rsid w:val="004F2E7C"/>
    <w:rsid w:val="00550414"/>
    <w:rsid w:val="005E74D1"/>
    <w:rsid w:val="00662981"/>
    <w:rsid w:val="00662FA3"/>
    <w:rsid w:val="007509C5"/>
    <w:rsid w:val="007D0507"/>
    <w:rsid w:val="00834A63"/>
    <w:rsid w:val="008758D4"/>
    <w:rsid w:val="00884359"/>
    <w:rsid w:val="008F1798"/>
    <w:rsid w:val="008F1BE7"/>
    <w:rsid w:val="00907546"/>
    <w:rsid w:val="0091419D"/>
    <w:rsid w:val="00935671"/>
    <w:rsid w:val="00981FFF"/>
    <w:rsid w:val="00985EAB"/>
    <w:rsid w:val="009E708F"/>
    <w:rsid w:val="009E7A5C"/>
    <w:rsid w:val="00A03066"/>
    <w:rsid w:val="00A1359B"/>
    <w:rsid w:val="00A3245B"/>
    <w:rsid w:val="00B87C3B"/>
    <w:rsid w:val="00B9319C"/>
    <w:rsid w:val="00C007C8"/>
    <w:rsid w:val="00C50BB6"/>
    <w:rsid w:val="00C64C19"/>
    <w:rsid w:val="00C962BC"/>
    <w:rsid w:val="00CA2D97"/>
    <w:rsid w:val="00CB5950"/>
    <w:rsid w:val="00CD7C47"/>
    <w:rsid w:val="00D2237C"/>
    <w:rsid w:val="00D63E69"/>
    <w:rsid w:val="00D8752B"/>
    <w:rsid w:val="00DE6CCD"/>
    <w:rsid w:val="00E017D6"/>
    <w:rsid w:val="00E4117A"/>
    <w:rsid w:val="00E86BA1"/>
    <w:rsid w:val="00EB3B0B"/>
    <w:rsid w:val="00EE3572"/>
    <w:rsid w:val="00F04FBD"/>
    <w:rsid w:val="00F5054A"/>
    <w:rsid w:val="00F615DB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E7A5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E7A5C"/>
  </w:style>
  <w:style w:type="character" w:customStyle="1" w:styleId="FootnoteTextChar">
    <w:name w:val="Footnote Text Char"/>
    <w:basedOn w:val="DefaultParagraphFont"/>
    <w:link w:val="FootnoteText"/>
    <w:semiHidden/>
    <w:rsid w:val="009E7A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E7A5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Courier New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9E7A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4F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4FB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04F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6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5C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6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5C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CE"/>
    <w:rPr>
      <w:rFonts w:ascii="Tahoma" w:eastAsia="Times New Roman" w:hAnsi="Tahoma" w:cs="Tahoma"/>
      <w:sz w:val="16"/>
      <w:szCs w:val="1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19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419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356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16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E7A5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E7A5C"/>
  </w:style>
  <w:style w:type="character" w:customStyle="1" w:styleId="FootnoteTextChar">
    <w:name w:val="Footnote Text Char"/>
    <w:basedOn w:val="DefaultParagraphFont"/>
    <w:link w:val="FootnoteText"/>
    <w:semiHidden/>
    <w:rsid w:val="009E7A5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9E7A5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Courier New"/>
      <w:color w:val="000000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9E7A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4FB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4FB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04FB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E6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5C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6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5C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CE"/>
    <w:rPr>
      <w:rFonts w:ascii="Tahoma" w:eastAsia="Times New Roman" w:hAnsi="Tahoma" w:cs="Tahoma"/>
      <w:sz w:val="16"/>
      <w:szCs w:val="16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19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419D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356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16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imtac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mtac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vingstreets.org.uk/media/1864/sharing-the-space-report.pdf" TargetMode="External"/><Relationship Id="rId1" Type="http://schemas.openxmlformats.org/officeDocument/2006/relationships/hyperlink" Target="https://www.infrastructure-ni.gov.uk/sites/default/files/publications/drd/a-bicycle-strategy-for-northern-irela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B642-8779-444F-AD0B-3B010FAF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cp:lastPrinted>2018-03-05T13:20:00Z</cp:lastPrinted>
  <dcterms:created xsi:type="dcterms:W3CDTF">2018-04-30T10:18:00Z</dcterms:created>
  <dcterms:modified xsi:type="dcterms:W3CDTF">2018-04-30T10:18:00Z</dcterms:modified>
</cp:coreProperties>
</file>