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11F5" w14:textId="77777777" w:rsidR="00FE6340" w:rsidRDefault="00FE6340" w:rsidP="00FE6340">
      <w:pPr>
        <w:pStyle w:val="Default"/>
        <w:ind w:right="992"/>
        <w:jc w:val="center"/>
        <w:rPr>
          <w:rFonts w:ascii="Arial" w:hAnsi="Arial"/>
          <w:b/>
          <w:bCs/>
          <w:sz w:val="36"/>
          <w:szCs w:val="36"/>
        </w:rPr>
      </w:pPr>
    </w:p>
    <w:p w14:paraId="329E429F" w14:textId="156D51FD" w:rsidR="00FE6340" w:rsidRDefault="00FE6340" w:rsidP="00FE6340">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4575A8CE" wp14:editId="4DD9CBEA">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cstate="print"/>
                    <a:stretch>
                      <a:fillRect/>
                    </a:stretch>
                  </pic:blipFill>
                  <pic:spPr>
                    <a:xfrm>
                      <a:off x="0" y="0"/>
                      <a:ext cx="4673600" cy="3416300"/>
                    </a:xfrm>
                    <a:prstGeom prst="rect">
                      <a:avLst/>
                    </a:prstGeom>
                    <a:ln w="12700" cap="flat">
                      <a:noFill/>
                      <a:miter lim="400000"/>
                    </a:ln>
                    <a:effectLst/>
                  </pic:spPr>
                </pic:pic>
              </a:graphicData>
            </a:graphic>
          </wp:inline>
        </w:drawing>
      </w:r>
    </w:p>
    <w:p w14:paraId="7C6E9B16" w14:textId="77777777" w:rsidR="00FE6340" w:rsidRDefault="00FE6340" w:rsidP="00FE6340">
      <w:pPr>
        <w:pStyle w:val="Default"/>
        <w:ind w:right="992"/>
        <w:rPr>
          <w:rFonts w:ascii="Arial" w:hAnsi="Arial"/>
          <w:b/>
          <w:bCs/>
          <w:sz w:val="36"/>
          <w:szCs w:val="36"/>
        </w:rPr>
      </w:pPr>
    </w:p>
    <w:p w14:paraId="51FE686F" w14:textId="5E77CEBA" w:rsidR="00FE6340" w:rsidRPr="00FE6340" w:rsidRDefault="00FE6340" w:rsidP="00FE6340">
      <w:pPr>
        <w:pStyle w:val="Default"/>
        <w:ind w:right="992"/>
        <w:rPr>
          <w:rFonts w:ascii="Arial" w:hAnsi="Arial"/>
          <w:b/>
          <w:bCs/>
          <w:sz w:val="36"/>
          <w:szCs w:val="36"/>
        </w:rPr>
      </w:pPr>
      <w:r w:rsidRPr="00FE6340">
        <w:rPr>
          <w:rFonts w:ascii="Arial" w:hAnsi="Arial"/>
          <w:b/>
          <w:bCs/>
          <w:sz w:val="36"/>
          <w:szCs w:val="36"/>
        </w:rPr>
        <w:t xml:space="preserve">Comments from </w:t>
      </w:r>
      <w:proofErr w:type="spellStart"/>
      <w:r w:rsidRPr="00FE6340">
        <w:rPr>
          <w:rFonts w:ascii="Arial" w:hAnsi="Arial"/>
          <w:b/>
          <w:bCs/>
          <w:sz w:val="36"/>
          <w:szCs w:val="36"/>
        </w:rPr>
        <w:t>Imtac</w:t>
      </w:r>
      <w:proofErr w:type="spellEnd"/>
      <w:r w:rsidRPr="00FE6340">
        <w:rPr>
          <w:rFonts w:ascii="Arial" w:hAnsi="Arial"/>
          <w:b/>
          <w:bCs/>
          <w:sz w:val="36"/>
          <w:szCs w:val="36"/>
        </w:rPr>
        <w:t xml:space="preserve"> about</w:t>
      </w:r>
      <w:r w:rsidR="00512665">
        <w:rPr>
          <w:rFonts w:ascii="Arial" w:hAnsi="Arial"/>
          <w:b/>
          <w:bCs/>
          <w:sz w:val="36"/>
          <w:szCs w:val="36"/>
        </w:rPr>
        <w:t xml:space="preserve"> the Department for Infrastructure</w:t>
      </w:r>
      <w:r w:rsidRPr="00FE6340">
        <w:rPr>
          <w:rFonts w:ascii="Arial" w:hAnsi="Arial"/>
          <w:b/>
          <w:bCs/>
          <w:sz w:val="36"/>
          <w:szCs w:val="36"/>
        </w:rPr>
        <w:t xml:space="preserve"> “Inconsiderate Parking – Options </w:t>
      </w:r>
      <w:r w:rsidR="00512665">
        <w:rPr>
          <w:rFonts w:ascii="Arial" w:hAnsi="Arial"/>
          <w:b/>
          <w:bCs/>
          <w:sz w:val="36"/>
          <w:szCs w:val="36"/>
        </w:rPr>
        <w:t>P</w:t>
      </w:r>
      <w:r w:rsidRPr="00FE6340">
        <w:rPr>
          <w:rFonts w:ascii="Arial" w:hAnsi="Arial"/>
          <w:b/>
          <w:bCs/>
          <w:sz w:val="36"/>
          <w:szCs w:val="36"/>
        </w:rPr>
        <w:t xml:space="preserve">aper” </w:t>
      </w:r>
      <w:r w:rsidR="00512665">
        <w:rPr>
          <w:rFonts w:ascii="Arial" w:hAnsi="Arial"/>
          <w:b/>
          <w:bCs/>
          <w:sz w:val="36"/>
          <w:szCs w:val="36"/>
        </w:rPr>
        <w:t>consultation</w:t>
      </w:r>
    </w:p>
    <w:p w14:paraId="5869C31F" w14:textId="425FACFB" w:rsidR="00FE6340" w:rsidRDefault="00FE6340" w:rsidP="00FE6340">
      <w:pPr>
        <w:pStyle w:val="Default"/>
        <w:ind w:right="992"/>
        <w:rPr>
          <w:rFonts w:ascii="Arial" w:hAnsi="Arial"/>
          <w:b/>
          <w:bCs/>
          <w:sz w:val="36"/>
          <w:szCs w:val="36"/>
        </w:rPr>
      </w:pP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t>(March 2022)</w:t>
      </w:r>
    </w:p>
    <w:p w14:paraId="6C6F5F9D" w14:textId="6B7BF6FE" w:rsidR="00FE6340" w:rsidRDefault="00FE6340" w:rsidP="00FE6340">
      <w:pPr>
        <w:pStyle w:val="Default"/>
        <w:spacing w:after="120"/>
        <w:ind w:right="992"/>
        <w:rPr>
          <w:rFonts w:ascii="Arial" w:eastAsia="Arial" w:hAnsi="Arial" w:cs="Arial"/>
          <w:sz w:val="36"/>
          <w:szCs w:val="36"/>
        </w:rPr>
      </w:pPr>
    </w:p>
    <w:p w14:paraId="0DBF5800" w14:textId="009FB6DE" w:rsidR="00FE6340" w:rsidRDefault="00FE6340" w:rsidP="00FE6340">
      <w:pPr>
        <w:pStyle w:val="Default"/>
        <w:spacing w:after="120"/>
        <w:ind w:right="992"/>
        <w:rPr>
          <w:rFonts w:ascii="Arial" w:eastAsia="Arial" w:hAnsi="Arial" w:cs="Arial"/>
          <w:sz w:val="36"/>
          <w:szCs w:val="36"/>
        </w:rPr>
      </w:pPr>
    </w:p>
    <w:p w14:paraId="0A372557" w14:textId="00A0210D" w:rsidR="00FE6340" w:rsidRDefault="00FE6340" w:rsidP="00FE6340">
      <w:pPr>
        <w:pStyle w:val="Default"/>
        <w:spacing w:after="120"/>
        <w:ind w:right="992"/>
        <w:rPr>
          <w:rFonts w:ascii="Arial" w:eastAsia="Arial" w:hAnsi="Arial" w:cs="Arial"/>
          <w:sz w:val="36"/>
          <w:szCs w:val="36"/>
        </w:rPr>
      </w:pPr>
    </w:p>
    <w:p w14:paraId="1A208F4F" w14:textId="6E267F89" w:rsidR="00FE6340" w:rsidRDefault="00FE6340" w:rsidP="00FE6340">
      <w:pPr>
        <w:pStyle w:val="Default"/>
        <w:spacing w:after="120"/>
        <w:ind w:right="992"/>
        <w:rPr>
          <w:rFonts w:ascii="Arial" w:eastAsia="Arial" w:hAnsi="Arial" w:cs="Arial"/>
          <w:sz w:val="36"/>
          <w:szCs w:val="36"/>
        </w:rPr>
      </w:pPr>
    </w:p>
    <w:p w14:paraId="55F79072" w14:textId="77777777" w:rsidR="00FE6340" w:rsidRDefault="00FE6340" w:rsidP="00FE6340">
      <w:pPr>
        <w:pStyle w:val="Default"/>
        <w:spacing w:after="120"/>
        <w:ind w:right="992"/>
        <w:rPr>
          <w:rFonts w:ascii="Arial" w:eastAsia="Arial" w:hAnsi="Arial" w:cs="Arial"/>
          <w:sz w:val="36"/>
          <w:szCs w:val="36"/>
        </w:rPr>
      </w:pPr>
    </w:p>
    <w:p w14:paraId="07B404B2" w14:textId="77777777" w:rsidR="00FE6340" w:rsidRDefault="00FE6340" w:rsidP="00FE6340">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2024E17B" w14:textId="77777777" w:rsidR="00FE6340" w:rsidRDefault="00FE6340" w:rsidP="00FE6340">
      <w:pPr>
        <w:pStyle w:val="Default"/>
        <w:ind w:right="992"/>
        <w:rPr>
          <w:rFonts w:ascii="Arial" w:eastAsia="Arial" w:hAnsi="Arial" w:cs="Arial"/>
          <w:b/>
          <w:bCs/>
          <w:sz w:val="28"/>
          <w:szCs w:val="28"/>
        </w:rPr>
      </w:pPr>
    </w:p>
    <w:p w14:paraId="41EAE3BB" w14:textId="77777777" w:rsidR="00FE6340" w:rsidRDefault="00FE6340" w:rsidP="00FE6340">
      <w:pPr>
        <w:pStyle w:val="Default"/>
        <w:ind w:right="992"/>
      </w:pPr>
      <w:r>
        <w:rPr>
          <w:rFonts w:ascii="Arial Unicode MS" w:hAnsi="Arial Unicode MS"/>
          <w:sz w:val="28"/>
          <w:szCs w:val="28"/>
        </w:rPr>
        <w:br w:type="page"/>
      </w:r>
    </w:p>
    <w:p w14:paraId="6B2F51AD" w14:textId="77777777" w:rsidR="00FE6340" w:rsidRDefault="00FE6340" w:rsidP="00FE6340">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115D4466" w14:textId="77777777" w:rsidR="00FE6340" w:rsidRDefault="00FE6340" w:rsidP="00FE6340">
      <w:pPr>
        <w:pStyle w:val="Default"/>
        <w:ind w:right="992"/>
        <w:rPr>
          <w:rFonts w:ascii="Arial" w:eastAsia="Arial" w:hAnsi="Arial" w:cs="Arial"/>
          <w:b/>
          <w:bCs/>
          <w:sz w:val="28"/>
          <w:szCs w:val="28"/>
        </w:rPr>
      </w:pPr>
    </w:p>
    <w:p w14:paraId="4215BBEB"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56D70F6B" w14:textId="77777777" w:rsidR="00FE6340" w:rsidRDefault="00FE6340" w:rsidP="00FE6340">
      <w:pPr>
        <w:pStyle w:val="Default"/>
        <w:ind w:right="992"/>
        <w:rPr>
          <w:rFonts w:ascii="Arial" w:eastAsia="Arial" w:hAnsi="Arial" w:cs="Arial"/>
          <w:sz w:val="28"/>
          <w:szCs w:val="28"/>
        </w:rPr>
      </w:pPr>
    </w:p>
    <w:p w14:paraId="13776F0A"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67EB8D13" w14:textId="77777777" w:rsidR="00FE6340" w:rsidRDefault="00FE6340" w:rsidP="00FE6340">
      <w:pPr>
        <w:pStyle w:val="Default"/>
        <w:ind w:right="992"/>
        <w:rPr>
          <w:rFonts w:ascii="Arial" w:eastAsia="Arial" w:hAnsi="Arial" w:cs="Arial"/>
          <w:sz w:val="28"/>
          <w:szCs w:val="28"/>
        </w:rPr>
      </w:pPr>
    </w:p>
    <w:p w14:paraId="529005D1" w14:textId="77777777" w:rsidR="00FE6340" w:rsidRDefault="00FE6340" w:rsidP="00FE6340">
      <w:pPr>
        <w:pStyle w:val="Default"/>
        <w:numPr>
          <w:ilvl w:val="0"/>
          <w:numId w:val="2"/>
        </w:numPr>
        <w:ind w:right="992"/>
        <w:rPr>
          <w:rFonts w:ascii="Arial" w:hAnsi="Arial"/>
          <w:sz w:val="28"/>
          <w:szCs w:val="28"/>
          <w:lang w:val="en-US"/>
        </w:rPr>
      </w:pPr>
      <w:r>
        <w:rPr>
          <w:rFonts w:ascii="Arial" w:hAnsi="Arial"/>
          <w:sz w:val="28"/>
          <w:szCs w:val="28"/>
          <w:lang w:val="en-US"/>
        </w:rPr>
        <w:t>Large print</w:t>
      </w:r>
    </w:p>
    <w:p w14:paraId="7A3BFCB0" w14:textId="77777777" w:rsidR="00FE6340" w:rsidRDefault="00FE6340" w:rsidP="00FE6340">
      <w:pPr>
        <w:pStyle w:val="Default"/>
        <w:numPr>
          <w:ilvl w:val="0"/>
          <w:numId w:val="2"/>
        </w:numPr>
        <w:ind w:right="992"/>
        <w:rPr>
          <w:rFonts w:ascii="Arial" w:hAnsi="Arial"/>
          <w:sz w:val="28"/>
          <w:szCs w:val="28"/>
          <w:lang w:val="it-IT"/>
        </w:rPr>
      </w:pPr>
      <w:r>
        <w:rPr>
          <w:rFonts w:ascii="Arial" w:hAnsi="Arial"/>
          <w:sz w:val="28"/>
          <w:szCs w:val="28"/>
          <w:lang w:val="it-IT"/>
        </w:rPr>
        <w:t>Audio versions</w:t>
      </w:r>
    </w:p>
    <w:p w14:paraId="6A59DD01" w14:textId="77777777" w:rsidR="00FE6340" w:rsidRDefault="00FE6340" w:rsidP="00FE6340">
      <w:pPr>
        <w:pStyle w:val="Default"/>
        <w:numPr>
          <w:ilvl w:val="0"/>
          <w:numId w:val="2"/>
        </w:numPr>
        <w:ind w:right="992"/>
        <w:rPr>
          <w:rFonts w:ascii="Arial" w:hAnsi="Arial"/>
          <w:sz w:val="28"/>
          <w:szCs w:val="28"/>
          <w:lang w:val="fr-FR"/>
        </w:rPr>
      </w:pPr>
      <w:r>
        <w:rPr>
          <w:rFonts w:ascii="Arial" w:hAnsi="Arial"/>
          <w:sz w:val="28"/>
          <w:szCs w:val="28"/>
          <w:lang w:val="fr-FR"/>
        </w:rPr>
        <w:t>Braille</w:t>
      </w:r>
    </w:p>
    <w:p w14:paraId="14804CF4" w14:textId="77777777" w:rsidR="00FE6340" w:rsidRDefault="00FE6340" w:rsidP="00FE6340">
      <w:pPr>
        <w:pStyle w:val="Default"/>
        <w:numPr>
          <w:ilvl w:val="0"/>
          <w:numId w:val="2"/>
        </w:numPr>
        <w:ind w:right="992"/>
        <w:rPr>
          <w:rFonts w:ascii="Arial" w:hAnsi="Arial"/>
          <w:sz w:val="28"/>
          <w:szCs w:val="28"/>
        </w:rPr>
      </w:pPr>
      <w:r>
        <w:rPr>
          <w:rFonts w:ascii="Arial" w:hAnsi="Arial"/>
          <w:sz w:val="28"/>
          <w:szCs w:val="28"/>
        </w:rPr>
        <w:t>Electronic copies</w:t>
      </w:r>
    </w:p>
    <w:p w14:paraId="1914DB19" w14:textId="77777777" w:rsidR="00FE6340" w:rsidRDefault="00FE6340" w:rsidP="00FE6340">
      <w:pPr>
        <w:pStyle w:val="Default"/>
        <w:numPr>
          <w:ilvl w:val="0"/>
          <w:numId w:val="2"/>
        </w:numPr>
        <w:ind w:right="992"/>
        <w:rPr>
          <w:rFonts w:ascii="Arial" w:hAnsi="Arial"/>
          <w:sz w:val="28"/>
          <w:szCs w:val="28"/>
          <w:lang w:val="en-US"/>
        </w:rPr>
      </w:pPr>
      <w:r>
        <w:rPr>
          <w:rFonts w:ascii="Arial" w:hAnsi="Arial"/>
          <w:sz w:val="28"/>
          <w:szCs w:val="28"/>
          <w:lang w:val="en-US"/>
        </w:rPr>
        <w:t>Easy read</w:t>
      </w:r>
    </w:p>
    <w:p w14:paraId="5026193C" w14:textId="77777777" w:rsidR="00FE6340" w:rsidRDefault="00FE6340" w:rsidP="00FE6340">
      <w:pPr>
        <w:pStyle w:val="Default"/>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60A2F3C1" w14:textId="77777777" w:rsidR="00FE6340" w:rsidRDefault="00FE6340" w:rsidP="00FE6340">
      <w:pPr>
        <w:pStyle w:val="Default"/>
        <w:ind w:right="992"/>
        <w:rPr>
          <w:rFonts w:ascii="Arial" w:eastAsia="Arial" w:hAnsi="Arial" w:cs="Arial"/>
          <w:sz w:val="28"/>
          <w:szCs w:val="28"/>
        </w:rPr>
      </w:pPr>
    </w:p>
    <w:p w14:paraId="666E0E99"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2732FB78" w14:textId="77777777" w:rsidR="00FE6340" w:rsidRDefault="00FE6340" w:rsidP="00FE6340">
      <w:pPr>
        <w:pStyle w:val="Default"/>
        <w:ind w:right="992"/>
        <w:rPr>
          <w:rFonts w:ascii="Arial" w:eastAsia="Arial" w:hAnsi="Arial" w:cs="Arial"/>
          <w:sz w:val="28"/>
          <w:szCs w:val="28"/>
        </w:rPr>
      </w:pPr>
    </w:p>
    <w:p w14:paraId="69E5F60B"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s-ES_tradnl"/>
        </w:rPr>
        <w:t>Michael Lorimer</w:t>
      </w:r>
    </w:p>
    <w:p w14:paraId="361D00D4"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de-DE"/>
        </w:rPr>
        <w:t>Imtac</w:t>
      </w:r>
    </w:p>
    <w:p w14:paraId="11B59006"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n-US"/>
        </w:rPr>
        <w:t>Titanic Suites</w:t>
      </w:r>
    </w:p>
    <w:p w14:paraId="7D62E2D5"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en-US"/>
        </w:rPr>
        <w:t>55-59 Adelaide Street</w:t>
      </w:r>
    </w:p>
    <w:p w14:paraId="55A50F79"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de-DE"/>
        </w:rPr>
        <w:t>Belfast  BT2 8FE</w:t>
      </w:r>
    </w:p>
    <w:p w14:paraId="384F65CE" w14:textId="77777777" w:rsidR="00FE6340" w:rsidRDefault="00FE6340" w:rsidP="00FE6340">
      <w:pPr>
        <w:pStyle w:val="Default"/>
        <w:ind w:right="992"/>
        <w:rPr>
          <w:rFonts w:ascii="Arial" w:eastAsia="Arial" w:hAnsi="Arial" w:cs="Arial"/>
          <w:sz w:val="28"/>
          <w:szCs w:val="28"/>
        </w:rPr>
      </w:pPr>
    </w:p>
    <w:p w14:paraId="5901694D" w14:textId="77777777" w:rsidR="00FE6340" w:rsidRDefault="00FE6340" w:rsidP="00FE6340">
      <w:pPr>
        <w:pStyle w:val="Default"/>
        <w:ind w:right="992"/>
        <w:rPr>
          <w:rFonts w:ascii="Arial" w:eastAsia="Arial" w:hAnsi="Arial" w:cs="Arial"/>
          <w:sz w:val="28"/>
          <w:szCs w:val="28"/>
        </w:rPr>
      </w:pPr>
      <w:r>
        <w:rPr>
          <w:rFonts w:ascii="Arial" w:hAnsi="Arial"/>
          <w:sz w:val="28"/>
          <w:szCs w:val="28"/>
          <w:lang w:val="de-DE"/>
        </w:rPr>
        <w:t>Telephone/Textphone: 028 9072 6020</w:t>
      </w:r>
    </w:p>
    <w:p w14:paraId="2631842B" w14:textId="77777777" w:rsidR="00FE6340" w:rsidRDefault="00FE6340" w:rsidP="00FE6340">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9" w:history="1">
        <w:r>
          <w:rPr>
            <w:rStyle w:val="Hyperlink1"/>
            <w:sz w:val="28"/>
            <w:szCs w:val="28"/>
            <w:u w:color="0432FF"/>
          </w:rPr>
          <w:t>info@imtac.org.uk</w:t>
        </w:r>
      </w:hyperlink>
    </w:p>
    <w:p w14:paraId="54A82D40" w14:textId="77777777" w:rsidR="00FE6340" w:rsidRDefault="00FE6340" w:rsidP="00FE6340">
      <w:pPr>
        <w:pStyle w:val="Default"/>
        <w:ind w:right="992"/>
        <w:rPr>
          <w:rFonts w:ascii="Arial" w:eastAsia="Arial" w:hAnsi="Arial" w:cs="Arial"/>
          <w:sz w:val="28"/>
          <w:szCs w:val="28"/>
          <w:u w:color="0432FF"/>
        </w:rPr>
      </w:pPr>
    </w:p>
    <w:p w14:paraId="52DCE2F7" w14:textId="77777777" w:rsidR="00FE6340" w:rsidRDefault="00FE6340" w:rsidP="00FE6340">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0" w:history="1">
        <w:r>
          <w:rPr>
            <w:rStyle w:val="Hyperlink1"/>
            <w:sz w:val="28"/>
            <w:szCs w:val="28"/>
            <w:u w:color="011EA9"/>
          </w:rPr>
          <w:t>www.imtac.org.uk</w:t>
        </w:r>
      </w:hyperlink>
    </w:p>
    <w:p w14:paraId="7EFBFB16" w14:textId="77777777" w:rsidR="00FE6340" w:rsidRDefault="00FE6340" w:rsidP="00FE6340">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3DC87A2" w14:textId="77777777" w:rsidR="00FE6340" w:rsidRDefault="00FE6340" w:rsidP="00FE6340">
      <w:pPr>
        <w:pStyle w:val="Default"/>
        <w:ind w:right="992"/>
        <w:rPr>
          <w:rFonts w:ascii="Arial" w:eastAsia="Arial" w:hAnsi="Arial" w:cs="Arial"/>
          <w:sz w:val="28"/>
          <w:szCs w:val="28"/>
          <w:u w:color="0432FF"/>
        </w:rPr>
      </w:pPr>
    </w:p>
    <w:p w14:paraId="5E4C2971" w14:textId="77777777" w:rsidR="00FE6340" w:rsidRDefault="00FE6340" w:rsidP="00FE6340">
      <w:pPr>
        <w:pStyle w:val="Default"/>
        <w:ind w:right="992"/>
      </w:pPr>
      <w:r>
        <w:rPr>
          <w:rFonts w:ascii="Arial Unicode MS" w:hAnsi="Arial Unicode MS"/>
          <w:sz w:val="28"/>
          <w:szCs w:val="28"/>
          <w:u w:color="0432FF"/>
        </w:rPr>
        <w:br w:type="page"/>
      </w:r>
    </w:p>
    <w:p w14:paraId="2ADEBADB" w14:textId="77777777" w:rsidR="00FE6340" w:rsidRDefault="00FE6340" w:rsidP="00FE6340">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3DB31F21" w14:textId="77777777" w:rsidR="00FE6340" w:rsidRDefault="00FE6340" w:rsidP="00FE6340">
      <w:pPr>
        <w:pStyle w:val="Default"/>
        <w:ind w:right="992"/>
        <w:rPr>
          <w:rFonts w:ascii="Arial" w:eastAsia="Arial" w:hAnsi="Arial" w:cs="Arial"/>
          <w:sz w:val="28"/>
          <w:szCs w:val="28"/>
          <w:u w:color="0432FF"/>
        </w:rPr>
      </w:pPr>
    </w:p>
    <w:p w14:paraId="1BBDF7FA" w14:textId="77777777" w:rsidR="00FE6340" w:rsidRDefault="00FE6340" w:rsidP="00FE6340">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a committee of disabled people and older people as well as others including </w:t>
      </w:r>
      <w:proofErr w:type="spellStart"/>
      <w:r>
        <w:rPr>
          <w:rFonts w:ascii="Arial" w:hAnsi="Arial"/>
          <w:sz w:val="28"/>
          <w:szCs w:val="28"/>
          <w:lang w:val="en-US"/>
        </w:rPr>
        <w:t>carers</w:t>
      </w:r>
      <w:proofErr w:type="spellEnd"/>
      <w:r>
        <w:rPr>
          <w:rFonts w:ascii="Arial" w:hAnsi="Arial"/>
          <w:sz w:val="28"/>
          <w:szCs w:val="28"/>
          <w:lang w:val="en-US"/>
        </w:rPr>
        <w:t xml:space="preserve"> and key transport professionals.  The role of the Committee is to advise Government and others in Northern Ireland on issues that affect the mobility of Deaf people, disabled </w:t>
      </w:r>
      <w:proofErr w:type="gramStart"/>
      <w:r>
        <w:rPr>
          <w:rFonts w:ascii="Arial" w:hAnsi="Arial"/>
          <w:sz w:val="28"/>
          <w:szCs w:val="28"/>
          <w:lang w:val="en-US"/>
        </w:rPr>
        <w:t>people</w:t>
      </w:r>
      <w:proofErr w:type="gramEnd"/>
      <w:r>
        <w:rPr>
          <w:rFonts w:ascii="Arial" w:hAnsi="Arial"/>
          <w:sz w:val="28"/>
          <w:szCs w:val="28"/>
          <w:lang w:val="en-US"/>
        </w:rPr>
        <w:t xml:space="preserve"> and older people.</w:t>
      </w:r>
    </w:p>
    <w:p w14:paraId="61DEF421" w14:textId="77777777" w:rsidR="00FE6340" w:rsidRDefault="00FE6340" w:rsidP="00FE6340">
      <w:pPr>
        <w:pStyle w:val="Default"/>
        <w:ind w:right="998"/>
        <w:rPr>
          <w:rFonts w:ascii="Times New Roman" w:eastAsia="Times New Roman" w:hAnsi="Times New Roman" w:cs="Times New Roman"/>
          <w:sz w:val="28"/>
          <w:szCs w:val="28"/>
        </w:rPr>
      </w:pPr>
    </w:p>
    <w:p w14:paraId="41488CAD" w14:textId="77777777" w:rsidR="00FE6340" w:rsidRDefault="00FE6340" w:rsidP="00FE6340">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174997E6" w14:textId="77777777" w:rsidR="00FE6340" w:rsidRDefault="00FE6340" w:rsidP="00FE6340">
      <w:pPr>
        <w:pStyle w:val="Default"/>
        <w:ind w:right="998"/>
        <w:rPr>
          <w:rFonts w:ascii="Arial" w:eastAsia="Arial" w:hAnsi="Arial" w:cs="Arial"/>
          <w:sz w:val="28"/>
          <w:szCs w:val="28"/>
        </w:rPr>
      </w:pPr>
    </w:p>
    <w:p w14:paraId="7D551E3B" w14:textId="77777777" w:rsidR="00FE6340" w:rsidRDefault="00FE6340" w:rsidP="00FE6340">
      <w:pPr>
        <w:rPr>
          <w:rFonts w:ascii="Arial" w:hAnsi="Arial" w:cs="Arial"/>
          <w:sz w:val="28"/>
          <w:szCs w:val="28"/>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73A40840" w14:textId="77777777" w:rsidR="005A1A66" w:rsidRDefault="005A1A66">
      <w:pPr>
        <w:rPr>
          <w:rFonts w:ascii="Arial" w:hAnsi="Arial" w:cs="Arial"/>
          <w:b/>
          <w:bCs/>
          <w:sz w:val="28"/>
          <w:szCs w:val="28"/>
        </w:rPr>
      </w:pPr>
    </w:p>
    <w:p w14:paraId="00B9F6C3" w14:textId="10D91916" w:rsidR="008D3C62" w:rsidRPr="002A023D" w:rsidRDefault="002A023D">
      <w:pPr>
        <w:rPr>
          <w:rFonts w:ascii="Arial" w:hAnsi="Arial" w:cs="Arial"/>
          <w:b/>
          <w:bCs/>
          <w:sz w:val="28"/>
          <w:szCs w:val="28"/>
        </w:rPr>
      </w:pPr>
      <w:r w:rsidRPr="002A023D">
        <w:rPr>
          <w:rFonts w:ascii="Arial" w:hAnsi="Arial" w:cs="Arial"/>
          <w:b/>
          <w:bCs/>
          <w:sz w:val="28"/>
          <w:szCs w:val="28"/>
        </w:rPr>
        <w:t>Introduction</w:t>
      </w:r>
    </w:p>
    <w:p w14:paraId="00B2B57B" w14:textId="62E8EB79" w:rsidR="002A023D" w:rsidRDefault="002A023D">
      <w:pPr>
        <w:rPr>
          <w:rFonts w:ascii="Arial" w:hAnsi="Arial" w:cs="Arial"/>
          <w:sz w:val="28"/>
          <w:szCs w:val="28"/>
        </w:rPr>
      </w:pPr>
    </w:p>
    <w:p w14:paraId="1C9E7F37" w14:textId="3AA46485" w:rsidR="002A023D" w:rsidRDefault="002A023D">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w:t>
      </w:r>
      <w:r w:rsidR="005A6320">
        <w:rPr>
          <w:rFonts w:ascii="Arial" w:hAnsi="Arial" w:cs="Arial"/>
          <w:sz w:val="28"/>
          <w:szCs w:val="28"/>
        </w:rPr>
        <w:t xml:space="preserve"> to respond </w:t>
      </w:r>
      <w:r w:rsidR="00666685">
        <w:rPr>
          <w:rFonts w:ascii="Arial" w:hAnsi="Arial" w:cs="Arial"/>
          <w:sz w:val="28"/>
          <w:szCs w:val="28"/>
        </w:rPr>
        <w:t xml:space="preserve">to </w:t>
      </w:r>
      <w:r w:rsidR="005256FD">
        <w:rPr>
          <w:rFonts w:ascii="Arial" w:hAnsi="Arial" w:cs="Arial"/>
          <w:sz w:val="28"/>
          <w:szCs w:val="28"/>
        </w:rPr>
        <w:t xml:space="preserve">the Department’s </w:t>
      </w:r>
      <w:r w:rsidR="00666685">
        <w:rPr>
          <w:rFonts w:ascii="Arial" w:hAnsi="Arial" w:cs="Arial"/>
          <w:sz w:val="28"/>
          <w:szCs w:val="28"/>
        </w:rPr>
        <w:t>Options Paper on Inconsiderate Pavement Parking</w:t>
      </w:r>
      <w:r w:rsidR="000A412B">
        <w:rPr>
          <w:rFonts w:ascii="Arial" w:hAnsi="Arial" w:cs="Arial"/>
          <w:sz w:val="28"/>
          <w:szCs w:val="28"/>
        </w:rPr>
        <w:t xml:space="preserve">. We </w:t>
      </w:r>
      <w:r w:rsidR="005256FD">
        <w:rPr>
          <w:rFonts w:ascii="Arial" w:hAnsi="Arial" w:cs="Arial"/>
          <w:sz w:val="28"/>
          <w:szCs w:val="28"/>
        </w:rPr>
        <w:t>wish</w:t>
      </w:r>
      <w:r w:rsidR="000A412B">
        <w:rPr>
          <w:rFonts w:ascii="Arial" w:hAnsi="Arial" w:cs="Arial"/>
          <w:sz w:val="28"/>
          <w:szCs w:val="28"/>
        </w:rPr>
        <w:t xml:space="preserve"> to record our thanks to the Minister for </w:t>
      </w:r>
      <w:proofErr w:type="gramStart"/>
      <w:r w:rsidR="000A412B">
        <w:rPr>
          <w:rFonts w:ascii="Arial" w:hAnsi="Arial" w:cs="Arial"/>
          <w:sz w:val="28"/>
          <w:szCs w:val="28"/>
        </w:rPr>
        <w:t xml:space="preserve">taking </w:t>
      </w:r>
      <w:r w:rsidR="00BB0672">
        <w:rPr>
          <w:rFonts w:ascii="Arial" w:hAnsi="Arial" w:cs="Arial"/>
          <w:sz w:val="28"/>
          <w:szCs w:val="28"/>
        </w:rPr>
        <w:t>action</w:t>
      </w:r>
      <w:proofErr w:type="gramEnd"/>
      <w:r w:rsidR="00BB0672">
        <w:rPr>
          <w:rFonts w:ascii="Arial" w:hAnsi="Arial" w:cs="Arial"/>
          <w:sz w:val="28"/>
          <w:szCs w:val="28"/>
        </w:rPr>
        <w:t xml:space="preserve"> on the issues raised by </w:t>
      </w:r>
      <w:proofErr w:type="spellStart"/>
      <w:r w:rsidR="00BB0672">
        <w:rPr>
          <w:rFonts w:ascii="Arial" w:hAnsi="Arial" w:cs="Arial"/>
          <w:sz w:val="28"/>
          <w:szCs w:val="28"/>
        </w:rPr>
        <w:t>Imtac</w:t>
      </w:r>
      <w:proofErr w:type="spellEnd"/>
      <w:r w:rsidR="00BB0672">
        <w:rPr>
          <w:rFonts w:ascii="Arial" w:hAnsi="Arial" w:cs="Arial"/>
          <w:sz w:val="28"/>
          <w:szCs w:val="28"/>
        </w:rPr>
        <w:t xml:space="preserve"> and </w:t>
      </w:r>
      <w:r w:rsidR="00CD2B3F">
        <w:rPr>
          <w:rFonts w:ascii="Arial" w:hAnsi="Arial" w:cs="Arial"/>
          <w:sz w:val="28"/>
          <w:szCs w:val="28"/>
        </w:rPr>
        <w:t>like-minded</w:t>
      </w:r>
      <w:r w:rsidR="00BB0672">
        <w:rPr>
          <w:rFonts w:ascii="Arial" w:hAnsi="Arial" w:cs="Arial"/>
          <w:sz w:val="28"/>
          <w:szCs w:val="28"/>
        </w:rPr>
        <w:t xml:space="preserve"> organisations. We also wish to commend officials from the Department for work on the Think Before You Park advertising</w:t>
      </w:r>
      <w:r w:rsidR="00253E6F">
        <w:rPr>
          <w:rFonts w:ascii="Arial" w:hAnsi="Arial" w:cs="Arial"/>
          <w:sz w:val="28"/>
          <w:szCs w:val="28"/>
        </w:rPr>
        <w:t xml:space="preserve"> campaign </w:t>
      </w:r>
      <w:r w:rsidR="005A1A66">
        <w:rPr>
          <w:rFonts w:ascii="Arial" w:hAnsi="Arial" w:cs="Arial"/>
          <w:sz w:val="28"/>
          <w:szCs w:val="28"/>
        </w:rPr>
        <w:t>(w</w:t>
      </w:r>
      <w:r w:rsidR="00253E6F">
        <w:rPr>
          <w:rFonts w:ascii="Arial" w:hAnsi="Arial" w:cs="Arial"/>
          <w:sz w:val="28"/>
          <w:szCs w:val="28"/>
        </w:rPr>
        <w:t>hich ran prior to the launch of the current consultation</w:t>
      </w:r>
      <w:r w:rsidR="005A1A66">
        <w:rPr>
          <w:rFonts w:ascii="Arial" w:hAnsi="Arial" w:cs="Arial"/>
          <w:sz w:val="28"/>
          <w:szCs w:val="28"/>
        </w:rPr>
        <w:t>) and for developing the current consultation paper</w:t>
      </w:r>
      <w:r w:rsidR="00253E6F">
        <w:rPr>
          <w:rFonts w:ascii="Arial" w:hAnsi="Arial" w:cs="Arial"/>
          <w:sz w:val="28"/>
          <w:szCs w:val="28"/>
        </w:rPr>
        <w:t>.</w:t>
      </w:r>
    </w:p>
    <w:p w14:paraId="22248CF0" w14:textId="6F3FA8D4" w:rsidR="00253E6F" w:rsidRDefault="00253E6F">
      <w:pPr>
        <w:rPr>
          <w:rFonts w:ascii="Arial" w:hAnsi="Arial" w:cs="Arial"/>
          <w:sz w:val="28"/>
          <w:szCs w:val="28"/>
        </w:rPr>
      </w:pPr>
    </w:p>
    <w:p w14:paraId="783CBE74" w14:textId="63F355B9" w:rsidR="00253E6F" w:rsidRPr="00253E6F" w:rsidRDefault="00253E6F">
      <w:pPr>
        <w:rPr>
          <w:rFonts w:ascii="Arial" w:hAnsi="Arial" w:cs="Arial"/>
          <w:b/>
          <w:bCs/>
          <w:sz w:val="28"/>
          <w:szCs w:val="28"/>
        </w:rPr>
      </w:pPr>
      <w:r w:rsidRPr="00253E6F">
        <w:rPr>
          <w:rFonts w:ascii="Arial" w:hAnsi="Arial" w:cs="Arial"/>
          <w:b/>
          <w:bCs/>
          <w:sz w:val="28"/>
          <w:szCs w:val="28"/>
        </w:rPr>
        <w:t>Current context</w:t>
      </w:r>
    </w:p>
    <w:p w14:paraId="02EF9748" w14:textId="092C885B" w:rsidR="00253E6F" w:rsidRDefault="00253E6F">
      <w:pPr>
        <w:rPr>
          <w:rFonts w:ascii="Arial" w:hAnsi="Arial" w:cs="Arial"/>
          <w:sz w:val="28"/>
          <w:szCs w:val="28"/>
        </w:rPr>
      </w:pPr>
    </w:p>
    <w:p w14:paraId="6320BE25" w14:textId="5FA9E68D" w:rsidR="00B53E04" w:rsidRDefault="00B53E04">
      <w:pPr>
        <w:rPr>
          <w:rFonts w:ascii="Arial" w:hAnsi="Arial" w:cs="Arial"/>
          <w:sz w:val="28"/>
          <w:szCs w:val="28"/>
        </w:rPr>
      </w:pPr>
      <w:r>
        <w:rPr>
          <w:rFonts w:ascii="Arial" w:hAnsi="Arial" w:cs="Arial"/>
          <w:sz w:val="28"/>
          <w:szCs w:val="28"/>
        </w:rPr>
        <w:t>In 2021 the Department for Infrastructure published “Planning for the Future of Transport – Time for Change.</w:t>
      </w:r>
      <w:r>
        <w:rPr>
          <w:rStyle w:val="FootnoteReference"/>
          <w:rFonts w:ascii="Arial" w:hAnsi="Arial" w:cs="Arial"/>
          <w:sz w:val="28"/>
          <w:szCs w:val="28"/>
        </w:rPr>
        <w:footnoteReference w:id="1"/>
      </w:r>
      <w:r>
        <w:rPr>
          <w:rFonts w:ascii="Arial" w:hAnsi="Arial" w:cs="Arial"/>
          <w:sz w:val="28"/>
          <w:szCs w:val="28"/>
        </w:rPr>
        <w:t xml:space="preserve">” The document sets out the </w:t>
      </w:r>
      <w:r w:rsidR="005256FD">
        <w:rPr>
          <w:rFonts w:ascii="Arial" w:hAnsi="Arial" w:cs="Arial"/>
          <w:sz w:val="28"/>
          <w:szCs w:val="28"/>
        </w:rPr>
        <w:t>changes needed to support the</w:t>
      </w:r>
      <w:r>
        <w:rPr>
          <w:rFonts w:ascii="Arial" w:hAnsi="Arial" w:cs="Arial"/>
          <w:sz w:val="28"/>
          <w:szCs w:val="28"/>
        </w:rPr>
        <w:t xml:space="preserve"> Department</w:t>
      </w:r>
      <w:r w:rsidR="005256FD">
        <w:rPr>
          <w:rFonts w:ascii="Arial" w:hAnsi="Arial" w:cs="Arial"/>
          <w:sz w:val="28"/>
          <w:szCs w:val="28"/>
        </w:rPr>
        <w:t>’s priorities</w:t>
      </w:r>
      <w:r>
        <w:rPr>
          <w:rFonts w:ascii="Arial" w:hAnsi="Arial" w:cs="Arial"/>
          <w:sz w:val="28"/>
          <w:szCs w:val="28"/>
        </w:rPr>
        <w:t xml:space="preserve"> over the next 10 to 15 years, recognising the import</w:t>
      </w:r>
      <w:r w:rsidR="005256FD">
        <w:rPr>
          <w:rFonts w:ascii="Arial" w:hAnsi="Arial" w:cs="Arial"/>
          <w:sz w:val="28"/>
          <w:szCs w:val="28"/>
        </w:rPr>
        <w:t>ant</w:t>
      </w:r>
      <w:r>
        <w:rPr>
          <w:rFonts w:ascii="Arial" w:hAnsi="Arial" w:cs="Arial"/>
          <w:sz w:val="28"/>
          <w:szCs w:val="28"/>
        </w:rPr>
        <w:t xml:space="preserve"> societal issues that need to be addressed and the significant challenges created by climate change. </w:t>
      </w:r>
    </w:p>
    <w:p w14:paraId="6FCDAEAB" w14:textId="77777777" w:rsidR="00B53E04" w:rsidRDefault="00B53E04">
      <w:pPr>
        <w:rPr>
          <w:rFonts w:ascii="Arial" w:hAnsi="Arial" w:cs="Arial"/>
          <w:sz w:val="28"/>
          <w:szCs w:val="28"/>
        </w:rPr>
      </w:pPr>
    </w:p>
    <w:p w14:paraId="45C633B4" w14:textId="34F8AADA" w:rsidR="00253E6F" w:rsidRDefault="00B53E04">
      <w:pPr>
        <w:rPr>
          <w:rFonts w:ascii="Arial" w:hAnsi="Arial" w:cs="Arial"/>
          <w:sz w:val="28"/>
          <w:szCs w:val="28"/>
        </w:rPr>
      </w:pPr>
      <w:r>
        <w:rPr>
          <w:rFonts w:ascii="Arial" w:hAnsi="Arial" w:cs="Arial"/>
          <w:sz w:val="28"/>
          <w:szCs w:val="28"/>
        </w:rPr>
        <w:t xml:space="preserve">Central to the change envisaged is </w:t>
      </w:r>
      <w:r w:rsidR="002333F9">
        <w:rPr>
          <w:rFonts w:ascii="Arial" w:hAnsi="Arial" w:cs="Arial"/>
          <w:sz w:val="28"/>
          <w:szCs w:val="28"/>
        </w:rPr>
        <w:t xml:space="preserve">a shift to a sustainable transport hierarchy where we prioritise the movement of people over vehicles, providing, first and foremost, for walking and wheeling. Planning for the Future of Transport is the culmination of </w:t>
      </w:r>
      <w:r w:rsidR="00FC6348">
        <w:rPr>
          <w:rFonts w:ascii="Arial" w:hAnsi="Arial" w:cs="Arial"/>
          <w:sz w:val="28"/>
          <w:szCs w:val="28"/>
        </w:rPr>
        <w:t xml:space="preserve">a </w:t>
      </w:r>
      <w:r w:rsidR="002333F9">
        <w:rPr>
          <w:rFonts w:ascii="Arial" w:hAnsi="Arial" w:cs="Arial"/>
          <w:sz w:val="28"/>
          <w:szCs w:val="28"/>
        </w:rPr>
        <w:t xml:space="preserve">process that has recognised that designing society around easy access to a car has had major negative implications for our environment </w:t>
      </w:r>
      <w:r w:rsidR="005256FD">
        <w:rPr>
          <w:rFonts w:ascii="Arial" w:hAnsi="Arial" w:cs="Arial"/>
          <w:sz w:val="28"/>
          <w:szCs w:val="28"/>
        </w:rPr>
        <w:t>and</w:t>
      </w:r>
      <w:r w:rsidR="002333F9">
        <w:rPr>
          <w:rFonts w:ascii="Arial" w:hAnsi="Arial" w:cs="Arial"/>
          <w:sz w:val="28"/>
          <w:szCs w:val="28"/>
        </w:rPr>
        <w:t xml:space="preserve"> has </w:t>
      </w:r>
      <w:r w:rsidR="005256FD">
        <w:rPr>
          <w:rFonts w:ascii="Arial" w:hAnsi="Arial" w:cs="Arial"/>
          <w:sz w:val="28"/>
          <w:szCs w:val="28"/>
        </w:rPr>
        <w:t xml:space="preserve">significantly </w:t>
      </w:r>
      <w:r w:rsidR="002333F9">
        <w:rPr>
          <w:rFonts w:ascii="Arial" w:hAnsi="Arial" w:cs="Arial"/>
          <w:sz w:val="28"/>
          <w:szCs w:val="28"/>
        </w:rPr>
        <w:lastRenderedPageBreak/>
        <w:t xml:space="preserve">contributed </w:t>
      </w:r>
      <w:r w:rsidR="005256FD">
        <w:rPr>
          <w:rFonts w:ascii="Arial" w:hAnsi="Arial" w:cs="Arial"/>
          <w:sz w:val="28"/>
          <w:szCs w:val="28"/>
        </w:rPr>
        <w:t>t</w:t>
      </w:r>
      <w:r w:rsidR="002333F9">
        <w:rPr>
          <w:rFonts w:ascii="Arial" w:hAnsi="Arial" w:cs="Arial"/>
          <w:sz w:val="28"/>
          <w:szCs w:val="28"/>
        </w:rPr>
        <w:t>o inequality in our society</w:t>
      </w:r>
      <w:r w:rsidR="00FC6348">
        <w:rPr>
          <w:rFonts w:ascii="Arial" w:hAnsi="Arial" w:cs="Arial"/>
          <w:sz w:val="28"/>
          <w:szCs w:val="28"/>
        </w:rPr>
        <w:t>, with those without or with limited access to cars excluded from many day-to-day activities</w:t>
      </w:r>
      <w:r w:rsidR="00FC6348">
        <w:rPr>
          <w:rStyle w:val="FootnoteReference"/>
          <w:rFonts w:ascii="Arial" w:hAnsi="Arial" w:cs="Arial"/>
          <w:sz w:val="28"/>
          <w:szCs w:val="28"/>
        </w:rPr>
        <w:footnoteReference w:id="2"/>
      </w:r>
      <w:r w:rsidR="00FC6348">
        <w:rPr>
          <w:rFonts w:ascii="Arial" w:hAnsi="Arial" w:cs="Arial"/>
          <w:sz w:val="28"/>
          <w:szCs w:val="28"/>
        </w:rPr>
        <w:t>.</w:t>
      </w:r>
    </w:p>
    <w:p w14:paraId="44E62559" w14:textId="27F23B97" w:rsidR="00FC6348" w:rsidRDefault="00FC6348">
      <w:pPr>
        <w:rPr>
          <w:rFonts w:ascii="Arial" w:hAnsi="Arial" w:cs="Arial"/>
          <w:sz w:val="28"/>
          <w:szCs w:val="28"/>
        </w:rPr>
      </w:pPr>
    </w:p>
    <w:p w14:paraId="5B8118D2" w14:textId="5952F4F9" w:rsidR="00DA02BB" w:rsidRDefault="00FC6348">
      <w:pPr>
        <w:rPr>
          <w:rFonts w:ascii="Arial" w:hAnsi="Arial" w:cs="Arial"/>
          <w:sz w:val="28"/>
          <w:szCs w:val="28"/>
        </w:rPr>
      </w:pPr>
      <w:r>
        <w:rPr>
          <w:rFonts w:ascii="Arial" w:hAnsi="Arial" w:cs="Arial"/>
          <w:sz w:val="28"/>
          <w:szCs w:val="28"/>
        </w:rPr>
        <w:t xml:space="preserve">Our current approach to pavement parking in Northern Ireland reflects outdated thinking around prioritising vehicle movement over the movement of people. </w:t>
      </w:r>
      <w:proofErr w:type="spellStart"/>
      <w:r>
        <w:rPr>
          <w:rFonts w:ascii="Arial" w:hAnsi="Arial" w:cs="Arial"/>
          <w:sz w:val="28"/>
          <w:szCs w:val="28"/>
        </w:rPr>
        <w:t>Imtac</w:t>
      </w:r>
      <w:proofErr w:type="spellEnd"/>
      <w:r>
        <w:rPr>
          <w:rFonts w:ascii="Arial" w:hAnsi="Arial" w:cs="Arial"/>
          <w:sz w:val="28"/>
          <w:szCs w:val="28"/>
        </w:rPr>
        <w:t xml:space="preserve"> recognises that some issues with pavement parking are created by residential streets that were n</w:t>
      </w:r>
      <w:r w:rsidR="005256FD">
        <w:rPr>
          <w:rFonts w:ascii="Arial" w:hAnsi="Arial" w:cs="Arial"/>
          <w:sz w:val="28"/>
          <w:szCs w:val="28"/>
        </w:rPr>
        <w:t>ot</w:t>
      </w:r>
      <w:r>
        <w:rPr>
          <w:rFonts w:ascii="Arial" w:hAnsi="Arial" w:cs="Arial"/>
          <w:sz w:val="28"/>
          <w:szCs w:val="28"/>
        </w:rPr>
        <w:t xml:space="preserve"> designed for the current levels of car ownership. </w:t>
      </w:r>
      <w:r w:rsidR="00DA02BB">
        <w:rPr>
          <w:rFonts w:ascii="Arial" w:hAnsi="Arial" w:cs="Arial"/>
          <w:sz w:val="28"/>
          <w:szCs w:val="28"/>
        </w:rPr>
        <w:t xml:space="preserve">The Committee recognises that resolving these problems will be a long-term process </w:t>
      </w:r>
      <w:r w:rsidR="005256FD">
        <w:rPr>
          <w:rFonts w:ascii="Arial" w:hAnsi="Arial" w:cs="Arial"/>
          <w:sz w:val="28"/>
          <w:szCs w:val="28"/>
        </w:rPr>
        <w:t>including</w:t>
      </w:r>
      <w:r w:rsidR="00DA02BB">
        <w:rPr>
          <w:rFonts w:ascii="Arial" w:hAnsi="Arial" w:cs="Arial"/>
          <w:sz w:val="28"/>
          <w:szCs w:val="28"/>
        </w:rPr>
        <w:t xml:space="preserve"> encouraging a shift from car ownership to other modes of travel. </w:t>
      </w:r>
      <w:r w:rsidR="000F0E7D">
        <w:rPr>
          <w:rFonts w:ascii="Arial" w:hAnsi="Arial" w:cs="Arial"/>
          <w:sz w:val="28"/>
          <w:szCs w:val="28"/>
        </w:rPr>
        <w:t>However,</w:t>
      </w:r>
      <w:r w:rsidR="00DA02BB">
        <w:rPr>
          <w:rFonts w:ascii="Arial" w:hAnsi="Arial" w:cs="Arial"/>
          <w:sz w:val="28"/>
          <w:szCs w:val="28"/>
        </w:rPr>
        <w:t xml:space="preserve"> there are many, many other examples of pavement parking where the current legalisation and </w:t>
      </w:r>
      <w:r w:rsidR="003839C1">
        <w:rPr>
          <w:rFonts w:ascii="Arial" w:hAnsi="Arial" w:cs="Arial"/>
          <w:sz w:val="28"/>
          <w:szCs w:val="28"/>
        </w:rPr>
        <w:t xml:space="preserve">associated limited </w:t>
      </w:r>
      <w:r w:rsidR="00DA02BB">
        <w:rPr>
          <w:rFonts w:ascii="Arial" w:hAnsi="Arial" w:cs="Arial"/>
          <w:sz w:val="28"/>
          <w:szCs w:val="28"/>
        </w:rPr>
        <w:t xml:space="preserve">powers of enforcement, </w:t>
      </w:r>
      <w:r w:rsidR="005256FD">
        <w:rPr>
          <w:rFonts w:ascii="Arial" w:hAnsi="Arial" w:cs="Arial"/>
          <w:sz w:val="28"/>
          <w:szCs w:val="28"/>
        </w:rPr>
        <w:t xml:space="preserve">does not </w:t>
      </w:r>
      <w:proofErr w:type="gramStart"/>
      <w:r w:rsidR="005256FD">
        <w:rPr>
          <w:rFonts w:ascii="Arial" w:hAnsi="Arial" w:cs="Arial"/>
          <w:sz w:val="28"/>
          <w:szCs w:val="28"/>
        </w:rPr>
        <w:t>deter</w:t>
      </w:r>
      <w:proofErr w:type="gramEnd"/>
      <w:r w:rsidR="005256FD">
        <w:rPr>
          <w:rFonts w:ascii="Arial" w:hAnsi="Arial" w:cs="Arial"/>
          <w:sz w:val="28"/>
          <w:szCs w:val="28"/>
        </w:rPr>
        <w:t xml:space="preserve"> and indeed encourages footways</w:t>
      </w:r>
      <w:r w:rsidR="003839C1">
        <w:rPr>
          <w:rFonts w:ascii="Arial" w:hAnsi="Arial" w:cs="Arial"/>
          <w:sz w:val="28"/>
          <w:szCs w:val="28"/>
        </w:rPr>
        <w:t xml:space="preserve"> to be used</w:t>
      </w:r>
      <w:r w:rsidR="00DA02BB">
        <w:rPr>
          <w:rFonts w:ascii="Arial" w:hAnsi="Arial" w:cs="Arial"/>
          <w:sz w:val="28"/>
          <w:szCs w:val="28"/>
        </w:rPr>
        <w:t xml:space="preserve"> for the convenience of vehicles at the expense of people walking and wheeling.</w:t>
      </w:r>
    </w:p>
    <w:p w14:paraId="214DF8EA" w14:textId="77777777" w:rsidR="00DA02BB" w:rsidRDefault="00DA02BB">
      <w:pPr>
        <w:rPr>
          <w:rFonts w:ascii="Arial" w:hAnsi="Arial" w:cs="Arial"/>
          <w:sz w:val="28"/>
          <w:szCs w:val="28"/>
        </w:rPr>
      </w:pPr>
    </w:p>
    <w:p w14:paraId="06B803D1" w14:textId="0B63302B" w:rsidR="003839C1" w:rsidRDefault="00DA02BB">
      <w:pPr>
        <w:rPr>
          <w:rFonts w:ascii="Arial" w:hAnsi="Arial" w:cs="Arial"/>
          <w:sz w:val="28"/>
          <w:szCs w:val="28"/>
        </w:rPr>
      </w:pPr>
      <w:r>
        <w:rPr>
          <w:rFonts w:ascii="Arial" w:hAnsi="Arial" w:cs="Arial"/>
          <w:sz w:val="28"/>
          <w:szCs w:val="28"/>
        </w:rPr>
        <w:t xml:space="preserve">The current approach has significant </w:t>
      </w:r>
      <w:r w:rsidR="000F0E7D">
        <w:rPr>
          <w:rFonts w:ascii="Arial" w:hAnsi="Arial" w:cs="Arial"/>
          <w:sz w:val="28"/>
          <w:szCs w:val="28"/>
        </w:rPr>
        <w:t>real-world</w:t>
      </w:r>
      <w:r>
        <w:rPr>
          <w:rFonts w:ascii="Arial" w:hAnsi="Arial" w:cs="Arial"/>
          <w:sz w:val="28"/>
          <w:szCs w:val="28"/>
        </w:rPr>
        <w:t xml:space="preserve"> impacts o</w:t>
      </w:r>
      <w:r w:rsidR="005A1A66">
        <w:rPr>
          <w:rFonts w:ascii="Arial" w:hAnsi="Arial" w:cs="Arial"/>
          <w:sz w:val="28"/>
          <w:szCs w:val="28"/>
        </w:rPr>
        <w:t xml:space="preserve">n </w:t>
      </w:r>
      <w:r>
        <w:rPr>
          <w:rFonts w:ascii="Arial" w:hAnsi="Arial" w:cs="Arial"/>
          <w:sz w:val="28"/>
          <w:szCs w:val="28"/>
        </w:rPr>
        <w:t xml:space="preserve">individuals and entire communities. Often these impacts are on people with no or limited access to private transport, contributing </w:t>
      </w:r>
      <w:r w:rsidR="000F0E7D">
        <w:rPr>
          <w:rFonts w:ascii="Arial" w:hAnsi="Arial" w:cs="Arial"/>
          <w:sz w:val="28"/>
          <w:szCs w:val="28"/>
        </w:rPr>
        <w:t xml:space="preserve">to inequality between </w:t>
      </w:r>
      <w:r w:rsidR="00B7481A">
        <w:rPr>
          <w:rFonts w:ascii="Arial" w:hAnsi="Arial" w:cs="Arial"/>
          <w:sz w:val="28"/>
          <w:szCs w:val="28"/>
        </w:rPr>
        <w:t>sections</w:t>
      </w:r>
      <w:r w:rsidR="000F0E7D">
        <w:rPr>
          <w:rFonts w:ascii="Arial" w:hAnsi="Arial" w:cs="Arial"/>
          <w:sz w:val="28"/>
          <w:szCs w:val="28"/>
        </w:rPr>
        <w:t xml:space="preserve"> of our society. In the simplest terms obstructions on the footway created by pavement parking makes doing everyday things extremely difficult for people impacted. It puts people walking and wheeling at risk and erodes the confidence of many people in undertaking what should be straightforward journeys. </w:t>
      </w:r>
    </w:p>
    <w:p w14:paraId="637D6B13" w14:textId="77777777" w:rsidR="003839C1" w:rsidRDefault="003839C1">
      <w:pPr>
        <w:rPr>
          <w:rFonts w:ascii="Arial" w:hAnsi="Arial" w:cs="Arial"/>
          <w:sz w:val="28"/>
          <w:szCs w:val="28"/>
        </w:rPr>
      </w:pPr>
    </w:p>
    <w:p w14:paraId="12E4D338" w14:textId="5338C9B2" w:rsidR="00FC6348" w:rsidRDefault="000F0E7D">
      <w:pPr>
        <w:rPr>
          <w:rFonts w:ascii="Arial" w:hAnsi="Arial" w:cs="Arial"/>
          <w:sz w:val="28"/>
          <w:szCs w:val="28"/>
        </w:rPr>
      </w:pPr>
      <w:r>
        <w:rPr>
          <w:rFonts w:ascii="Arial" w:hAnsi="Arial" w:cs="Arial"/>
          <w:sz w:val="28"/>
          <w:szCs w:val="28"/>
        </w:rPr>
        <w:t xml:space="preserve">From a </w:t>
      </w:r>
      <w:proofErr w:type="gramStart"/>
      <w:r w:rsidR="00396D73">
        <w:rPr>
          <w:rFonts w:ascii="Arial" w:hAnsi="Arial" w:cs="Arial"/>
          <w:sz w:val="28"/>
          <w:szCs w:val="28"/>
        </w:rPr>
        <w:t>government</w:t>
      </w:r>
      <w:r w:rsidR="00B7481A">
        <w:rPr>
          <w:rFonts w:ascii="Arial" w:hAnsi="Arial" w:cs="Arial"/>
          <w:sz w:val="28"/>
          <w:szCs w:val="28"/>
        </w:rPr>
        <w:t xml:space="preserve"> / roads authority</w:t>
      </w:r>
      <w:r>
        <w:rPr>
          <w:rFonts w:ascii="Arial" w:hAnsi="Arial" w:cs="Arial"/>
          <w:sz w:val="28"/>
          <w:szCs w:val="28"/>
        </w:rPr>
        <w:t xml:space="preserve"> perspective pavement parking damages footways</w:t>
      </w:r>
      <w:proofErr w:type="gramEnd"/>
      <w:r w:rsidR="00B7481A">
        <w:rPr>
          <w:rFonts w:ascii="Arial" w:hAnsi="Arial" w:cs="Arial"/>
          <w:sz w:val="28"/>
          <w:szCs w:val="28"/>
        </w:rPr>
        <w:t>, generating maintenance and public liability claim costs.</w:t>
      </w:r>
      <w:r>
        <w:rPr>
          <w:rFonts w:ascii="Arial" w:hAnsi="Arial" w:cs="Arial"/>
          <w:sz w:val="28"/>
          <w:szCs w:val="28"/>
        </w:rPr>
        <w:t xml:space="preserve"> </w:t>
      </w:r>
      <w:r w:rsidR="00B7481A">
        <w:rPr>
          <w:rFonts w:ascii="Arial" w:hAnsi="Arial" w:cs="Arial"/>
          <w:sz w:val="28"/>
          <w:szCs w:val="28"/>
        </w:rPr>
        <w:t>It</w:t>
      </w:r>
      <w:r>
        <w:rPr>
          <w:rFonts w:ascii="Arial" w:hAnsi="Arial" w:cs="Arial"/>
          <w:sz w:val="28"/>
          <w:szCs w:val="28"/>
        </w:rPr>
        <w:t xml:space="preserve"> stops people accessing services and public transport. In short it undermines</w:t>
      </w:r>
      <w:r w:rsidR="00DA02BB">
        <w:rPr>
          <w:rFonts w:ascii="Arial" w:hAnsi="Arial" w:cs="Arial"/>
          <w:sz w:val="28"/>
          <w:szCs w:val="28"/>
        </w:rPr>
        <w:t xml:space="preserve"> </w:t>
      </w:r>
      <w:r w:rsidR="00AC726E">
        <w:rPr>
          <w:rFonts w:ascii="Arial" w:hAnsi="Arial" w:cs="Arial"/>
          <w:sz w:val="28"/>
          <w:szCs w:val="28"/>
        </w:rPr>
        <w:t>most if not all the key outcomes contained in Programme for Government and associated policy documents</w:t>
      </w:r>
      <w:r w:rsidR="003839C1">
        <w:rPr>
          <w:rFonts w:ascii="Arial" w:hAnsi="Arial" w:cs="Arial"/>
          <w:sz w:val="28"/>
          <w:szCs w:val="28"/>
        </w:rPr>
        <w:t xml:space="preserve"> and </w:t>
      </w:r>
      <w:r w:rsidR="00B7481A">
        <w:rPr>
          <w:rFonts w:ascii="Arial" w:hAnsi="Arial" w:cs="Arial"/>
          <w:sz w:val="28"/>
          <w:szCs w:val="28"/>
        </w:rPr>
        <w:t>negates</w:t>
      </w:r>
      <w:r w:rsidR="005C1FA9">
        <w:rPr>
          <w:rFonts w:ascii="Arial" w:hAnsi="Arial" w:cs="Arial"/>
          <w:sz w:val="28"/>
          <w:szCs w:val="28"/>
        </w:rPr>
        <w:t xml:space="preserve"> much of</w:t>
      </w:r>
      <w:r w:rsidR="003839C1">
        <w:rPr>
          <w:rFonts w:ascii="Arial" w:hAnsi="Arial" w:cs="Arial"/>
          <w:sz w:val="28"/>
          <w:szCs w:val="28"/>
        </w:rPr>
        <w:t xml:space="preserve"> the value society receives from investment in infrastructure</w:t>
      </w:r>
      <w:r w:rsidR="00AC726E">
        <w:rPr>
          <w:rFonts w:ascii="Arial" w:hAnsi="Arial" w:cs="Arial"/>
          <w:sz w:val="28"/>
          <w:szCs w:val="28"/>
        </w:rPr>
        <w:t>.</w:t>
      </w:r>
    </w:p>
    <w:p w14:paraId="632A6370" w14:textId="6C359ACC" w:rsidR="00AC726E" w:rsidRDefault="00AC726E">
      <w:pPr>
        <w:rPr>
          <w:rFonts w:ascii="Arial" w:hAnsi="Arial" w:cs="Arial"/>
          <w:sz w:val="28"/>
          <w:szCs w:val="28"/>
        </w:rPr>
      </w:pPr>
    </w:p>
    <w:p w14:paraId="5F807F84" w14:textId="5CD755F7" w:rsidR="00AC726E" w:rsidRDefault="00AC726E">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notes </w:t>
      </w:r>
      <w:r w:rsidR="003839C1">
        <w:rPr>
          <w:rFonts w:ascii="Arial" w:hAnsi="Arial" w:cs="Arial"/>
          <w:sz w:val="28"/>
          <w:szCs w:val="28"/>
        </w:rPr>
        <w:t xml:space="preserve">that </w:t>
      </w:r>
      <w:r w:rsidR="006A0113">
        <w:rPr>
          <w:rFonts w:ascii="Arial" w:hAnsi="Arial" w:cs="Arial"/>
          <w:sz w:val="28"/>
          <w:szCs w:val="28"/>
        </w:rPr>
        <w:t xml:space="preserve">other parts of </w:t>
      </w:r>
      <w:r w:rsidR="00396D73">
        <w:rPr>
          <w:rFonts w:ascii="Arial" w:hAnsi="Arial" w:cs="Arial"/>
          <w:sz w:val="28"/>
          <w:szCs w:val="28"/>
        </w:rPr>
        <w:t>these islands</w:t>
      </w:r>
      <w:r w:rsidR="006A0113">
        <w:rPr>
          <w:rFonts w:ascii="Arial" w:hAnsi="Arial" w:cs="Arial"/>
          <w:sz w:val="28"/>
          <w:szCs w:val="28"/>
        </w:rPr>
        <w:t xml:space="preserve"> </w:t>
      </w:r>
      <w:r w:rsidR="003839C1">
        <w:rPr>
          <w:rFonts w:ascii="Arial" w:hAnsi="Arial" w:cs="Arial"/>
          <w:sz w:val="28"/>
          <w:szCs w:val="28"/>
        </w:rPr>
        <w:t xml:space="preserve">are already considering or </w:t>
      </w:r>
      <w:r w:rsidR="00B7481A">
        <w:rPr>
          <w:rFonts w:ascii="Arial" w:hAnsi="Arial" w:cs="Arial"/>
          <w:sz w:val="28"/>
          <w:szCs w:val="28"/>
        </w:rPr>
        <w:t>have made</w:t>
      </w:r>
      <w:r w:rsidR="003839C1">
        <w:rPr>
          <w:rFonts w:ascii="Arial" w:hAnsi="Arial" w:cs="Arial"/>
          <w:sz w:val="28"/>
          <w:szCs w:val="28"/>
        </w:rPr>
        <w:t xml:space="preserve"> changes to</w:t>
      </w:r>
      <w:r w:rsidR="005C1FA9">
        <w:rPr>
          <w:rFonts w:ascii="Arial" w:hAnsi="Arial" w:cs="Arial"/>
          <w:sz w:val="28"/>
          <w:szCs w:val="28"/>
        </w:rPr>
        <w:t xml:space="preserve"> their approach to tackling pavement parking. If the current policy statements from the Department are to have any credibility it is clear to our members that maintaining the current </w:t>
      </w:r>
      <w:r w:rsidR="005A1A66">
        <w:rPr>
          <w:rFonts w:ascii="Arial" w:hAnsi="Arial" w:cs="Arial"/>
          <w:sz w:val="28"/>
          <w:szCs w:val="28"/>
        </w:rPr>
        <w:t>approach to pavement parking</w:t>
      </w:r>
      <w:r w:rsidR="005C1FA9">
        <w:rPr>
          <w:rFonts w:ascii="Arial" w:hAnsi="Arial" w:cs="Arial"/>
          <w:sz w:val="28"/>
          <w:szCs w:val="28"/>
        </w:rPr>
        <w:t xml:space="preserve"> is not an option</w:t>
      </w:r>
      <w:r w:rsidR="00396D73">
        <w:rPr>
          <w:rFonts w:ascii="Arial" w:hAnsi="Arial" w:cs="Arial"/>
          <w:sz w:val="28"/>
          <w:szCs w:val="28"/>
        </w:rPr>
        <w:t xml:space="preserve"> and change is required</w:t>
      </w:r>
      <w:r w:rsidR="005C1FA9">
        <w:rPr>
          <w:rFonts w:ascii="Arial" w:hAnsi="Arial" w:cs="Arial"/>
          <w:sz w:val="28"/>
          <w:szCs w:val="28"/>
        </w:rPr>
        <w:t>.</w:t>
      </w:r>
      <w:r w:rsidR="003839C1">
        <w:rPr>
          <w:rFonts w:ascii="Arial" w:hAnsi="Arial" w:cs="Arial"/>
          <w:sz w:val="28"/>
          <w:szCs w:val="28"/>
        </w:rPr>
        <w:t xml:space="preserve"> </w:t>
      </w:r>
      <w:r w:rsidR="006A0113">
        <w:rPr>
          <w:rFonts w:ascii="Arial" w:hAnsi="Arial" w:cs="Arial"/>
          <w:sz w:val="28"/>
          <w:szCs w:val="28"/>
        </w:rPr>
        <w:t xml:space="preserve"> </w:t>
      </w:r>
    </w:p>
    <w:p w14:paraId="75C2A9B9" w14:textId="77909C92" w:rsidR="005C1FA9" w:rsidRDefault="005C1FA9">
      <w:pPr>
        <w:rPr>
          <w:rFonts w:ascii="Arial" w:hAnsi="Arial" w:cs="Arial"/>
          <w:sz w:val="28"/>
          <w:szCs w:val="28"/>
        </w:rPr>
      </w:pPr>
    </w:p>
    <w:p w14:paraId="01D39291" w14:textId="2CAA6C2A" w:rsidR="00FE6340" w:rsidRDefault="00FE6340">
      <w:pPr>
        <w:rPr>
          <w:rFonts w:ascii="Arial" w:hAnsi="Arial" w:cs="Arial"/>
          <w:sz w:val="28"/>
          <w:szCs w:val="28"/>
        </w:rPr>
      </w:pPr>
    </w:p>
    <w:p w14:paraId="21045689" w14:textId="77777777" w:rsidR="00FE6340" w:rsidRDefault="00FE6340">
      <w:pPr>
        <w:rPr>
          <w:rFonts w:ascii="Arial" w:hAnsi="Arial" w:cs="Arial"/>
          <w:sz w:val="28"/>
          <w:szCs w:val="28"/>
        </w:rPr>
      </w:pPr>
    </w:p>
    <w:p w14:paraId="4586D016" w14:textId="6B8A396D" w:rsidR="005C1FA9" w:rsidRDefault="005C1FA9">
      <w:pPr>
        <w:rPr>
          <w:rFonts w:ascii="Arial" w:hAnsi="Arial" w:cs="Arial"/>
          <w:b/>
          <w:bCs/>
          <w:sz w:val="28"/>
          <w:szCs w:val="28"/>
        </w:rPr>
      </w:pPr>
      <w:r w:rsidRPr="005C1FA9">
        <w:rPr>
          <w:rFonts w:ascii="Arial" w:hAnsi="Arial" w:cs="Arial"/>
          <w:b/>
          <w:bCs/>
          <w:sz w:val="28"/>
          <w:szCs w:val="28"/>
        </w:rPr>
        <w:lastRenderedPageBreak/>
        <w:t>Consideration of Options</w:t>
      </w:r>
    </w:p>
    <w:p w14:paraId="30CA0867" w14:textId="51B1305B" w:rsidR="00314FD5" w:rsidRDefault="00314FD5">
      <w:pPr>
        <w:rPr>
          <w:rFonts w:ascii="Arial" w:hAnsi="Arial" w:cs="Arial"/>
          <w:b/>
          <w:bCs/>
          <w:sz w:val="28"/>
          <w:szCs w:val="28"/>
        </w:rPr>
      </w:pPr>
    </w:p>
    <w:p w14:paraId="15990434" w14:textId="3EE831E7" w:rsidR="00314FD5" w:rsidRPr="00314FD5" w:rsidRDefault="00314FD5">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recognises that none of the options for change are straightforward and that for each </w:t>
      </w:r>
      <w:r w:rsidR="00DE123B">
        <w:rPr>
          <w:rFonts w:ascii="Arial" w:hAnsi="Arial" w:cs="Arial"/>
          <w:sz w:val="28"/>
          <w:szCs w:val="28"/>
        </w:rPr>
        <w:t>option</w:t>
      </w:r>
      <w:r>
        <w:rPr>
          <w:rFonts w:ascii="Arial" w:hAnsi="Arial" w:cs="Arial"/>
          <w:sz w:val="28"/>
          <w:szCs w:val="28"/>
        </w:rPr>
        <w:t xml:space="preserve"> there </w:t>
      </w:r>
      <w:r w:rsidR="00B7481A">
        <w:rPr>
          <w:rFonts w:ascii="Arial" w:hAnsi="Arial" w:cs="Arial"/>
          <w:sz w:val="28"/>
          <w:szCs w:val="28"/>
        </w:rPr>
        <w:t>are likely to</w:t>
      </w:r>
      <w:r>
        <w:rPr>
          <w:rFonts w:ascii="Arial" w:hAnsi="Arial" w:cs="Arial"/>
          <w:sz w:val="28"/>
          <w:szCs w:val="28"/>
        </w:rPr>
        <w:t xml:space="preserve"> be exemptions where pavement parking is still permitted.</w:t>
      </w:r>
      <w:r w:rsidR="00105864">
        <w:rPr>
          <w:rFonts w:ascii="Arial" w:hAnsi="Arial" w:cs="Arial"/>
          <w:sz w:val="28"/>
          <w:szCs w:val="28"/>
        </w:rPr>
        <w:t xml:space="preserve"> One positive Northern Ireland does have in relation to</w:t>
      </w:r>
      <w:r w:rsidR="00B7481A">
        <w:rPr>
          <w:rFonts w:ascii="Arial" w:hAnsi="Arial" w:cs="Arial"/>
          <w:sz w:val="28"/>
          <w:szCs w:val="28"/>
        </w:rPr>
        <w:t xml:space="preserve"> many</w:t>
      </w:r>
      <w:r w:rsidR="00105864">
        <w:rPr>
          <w:rFonts w:ascii="Arial" w:hAnsi="Arial" w:cs="Arial"/>
          <w:sz w:val="28"/>
          <w:szCs w:val="28"/>
        </w:rPr>
        <w:t xml:space="preserve"> other parts </w:t>
      </w:r>
      <w:r w:rsidR="000C1050">
        <w:rPr>
          <w:rFonts w:ascii="Arial" w:hAnsi="Arial" w:cs="Arial"/>
          <w:sz w:val="28"/>
          <w:szCs w:val="28"/>
        </w:rPr>
        <w:t xml:space="preserve">of the United Kingdom is a </w:t>
      </w:r>
      <w:r w:rsidR="00DE123B">
        <w:rPr>
          <w:rFonts w:ascii="Arial" w:hAnsi="Arial" w:cs="Arial"/>
          <w:sz w:val="28"/>
          <w:szCs w:val="28"/>
        </w:rPr>
        <w:t>well-established</w:t>
      </w:r>
      <w:r w:rsidR="000C1050">
        <w:rPr>
          <w:rFonts w:ascii="Arial" w:hAnsi="Arial" w:cs="Arial"/>
          <w:sz w:val="28"/>
          <w:szCs w:val="28"/>
        </w:rPr>
        <w:t xml:space="preserve"> </w:t>
      </w:r>
      <w:r w:rsidR="002807F3">
        <w:rPr>
          <w:rFonts w:ascii="Arial" w:hAnsi="Arial" w:cs="Arial"/>
          <w:sz w:val="28"/>
          <w:szCs w:val="28"/>
        </w:rPr>
        <w:t xml:space="preserve">decriminalised </w:t>
      </w:r>
      <w:r w:rsidR="000C1050">
        <w:rPr>
          <w:rFonts w:ascii="Arial" w:hAnsi="Arial" w:cs="Arial"/>
          <w:sz w:val="28"/>
          <w:szCs w:val="28"/>
        </w:rPr>
        <w:t>parking enforcement regime</w:t>
      </w:r>
      <w:r w:rsidR="00F95AD0">
        <w:rPr>
          <w:rFonts w:ascii="Arial" w:hAnsi="Arial" w:cs="Arial"/>
          <w:sz w:val="28"/>
          <w:szCs w:val="28"/>
        </w:rPr>
        <w:t xml:space="preserve"> with </w:t>
      </w:r>
      <w:r w:rsidR="00B7481A">
        <w:rPr>
          <w:rFonts w:ascii="Arial" w:hAnsi="Arial" w:cs="Arial"/>
          <w:sz w:val="28"/>
          <w:szCs w:val="28"/>
        </w:rPr>
        <w:t xml:space="preserve">the </w:t>
      </w:r>
      <w:r w:rsidR="00F95AD0">
        <w:rPr>
          <w:rFonts w:ascii="Arial" w:hAnsi="Arial" w:cs="Arial"/>
          <w:sz w:val="28"/>
          <w:szCs w:val="28"/>
        </w:rPr>
        <w:t>associated potential for increased enforcement to be self-financing</w:t>
      </w:r>
      <w:r w:rsidR="000C1050">
        <w:rPr>
          <w:rFonts w:ascii="Arial" w:hAnsi="Arial" w:cs="Arial"/>
          <w:sz w:val="28"/>
          <w:szCs w:val="28"/>
        </w:rPr>
        <w:t>.</w:t>
      </w:r>
    </w:p>
    <w:p w14:paraId="1B6352A4" w14:textId="4C662AD4" w:rsidR="005C1FA9" w:rsidRDefault="005C1FA9">
      <w:pPr>
        <w:rPr>
          <w:rFonts w:ascii="Arial" w:hAnsi="Arial" w:cs="Arial"/>
          <w:b/>
          <w:bCs/>
          <w:sz w:val="28"/>
          <w:szCs w:val="28"/>
        </w:rPr>
      </w:pPr>
    </w:p>
    <w:p w14:paraId="0685F6C6" w14:textId="5401BBE3" w:rsidR="005C1FA9" w:rsidRDefault="00396D73">
      <w:pPr>
        <w:rPr>
          <w:rFonts w:ascii="Arial" w:hAnsi="Arial" w:cs="Arial"/>
          <w:i/>
          <w:iCs/>
          <w:sz w:val="28"/>
          <w:szCs w:val="28"/>
        </w:rPr>
      </w:pPr>
      <w:r w:rsidRPr="00396D73">
        <w:rPr>
          <w:rFonts w:ascii="Arial" w:hAnsi="Arial" w:cs="Arial"/>
          <w:i/>
          <w:iCs/>
          <w:sz w:val="28"/>
          <w:szCs w:val="28"/>
        </w:rPr>
        <w:t>Option 1 – Introduce individual bans using the Department’s existing powers</w:t>
      </w:r>
    </w:p>
    <w:p w14:paraId="6191D060" w14:textId="31F3D5B5" w:rsidR="00396D73" w:rsidRDefault="00396D73">
      <w:pPr>
        <w:rPr>
          <w:rFonts w:ascii="Arial" w:hAnsi="Arial" w:cs="Arial"/>
          <w:i/>
          <w:iCs/>
          <w:sz w:val="28"/>
          <w:szCs w:val="28"/>
        </w:rPr>
      </w:pPr>
    </w:p>
    <w:p w14:paraId="725A4AA1" w14:textId="52AF74FB" w:rsidR="00396D73" w:rsidRDefault="00396D73">
      <w:pPr>
        <w:rPr>
          <w:rFonts w:ascii="Arial" w:hAnsi="Arial" w:cs="Arial"/>
          <w:sz w:val="28"/>
          <w:szCs w:val="28"/>
        </w:rPr>
      </w:pPr>
      <w:r>
        <w:rPr>
          <w:rFonts w:ascii="Arial" w:hAnsi="Arial" w:cs="Arial"/>
          <w:sz w:val="28"/>
          <w:szCs w:val="28"/>
        </w:rPr>
        <w:t xml:space="preserve">Whilst it is probably the most readily available </w:t>
      </w:r>
      <w:r w:rsidR="00BF6CE8">
        <w:rPr>
          <w:rFonts w:ascii="Arial" w:hAnsi="Arial" w:cs="Arial"/>
          <w:sz w:val="28"/>
          <w:szCs w:val="28"/>
        </w:rPr>
        <w:t>tool to tackle</w:t>
      </w:r>
      <w:r>
        <w:rPr>
          <w:rFonts w:ascii="Arial" w:hAnsi="Arial" w:cs="Arial"/>
          <w:sz w:val="28"/>
          <w:szCs w:val="28"/>
        </w:rPr>
        <w:t xml:space="preserve"> pavement parking, using Traffic Regulation Orders is the least preferred option for the Committee</w:t>
      </w:r>
      <w:r w:rsidR="00314FD5">
        <w:rPr>
          <w:rFonts w:ascii="Arial" w:hAnsi="Arial" w:cs="Arial"/>
          <w:sz w:val="28"/>
          <w:szCs w:val="28"/>
        </w:rPr>
        <w:t>. Our rationale for this is based on concerns about how schemes w</w:t>
      </w:r>
      <w:r w:rsidR="00BF6CE8">
        <w:rPr>
          <w:rFonts w:ascii="Arial" w:hAnsi="Arial" w:cs="Arial"/>
          <w:sz w:val="28"/>
          <w:szCs w:val="28"/>
        </w:rPr>
        <w:t>ould</w:t>
      </w:r>
      <w:r w:rsidR="00314FD5">
        <w:rPr>
          <w:rFonts w:ascii="Arial" w:hAnsi="Arial" w:cs="Arial"/>
          <w:sz w:val="28"/>
          <w:szCs w:val="28"/>
        </w:rPr>
        <w:t xml:space="preserve"> be selected and the fear that </w:t>
      </w:r>
      <w:r w:rsidR="00BF6CE8">
        <w:rPr>
          <w:rFonts w:ascii="Arial" w:hAnsi="Arial" w:cs="Arial"/>
          <w:sz w:val="28"/>
          <w:szCs w:val="28"/>
        </w:rPr>
        <w:t xml:space="preserve">this </w:t>
      </w:r>
      <w:r w:rsidR="00314FD5">
        <w:rPr>
          <w:rFonts w:ascii="Arial" w:hAnsi="Arial" w:cs="Arial"/>
          <w:sz w:val="28"/>
          <w:szCs w:val="28"/>
        </w:rPr>
        <w:t xml:space="preserve">may result in a piecemeal approach with a limited number of schemes </w:t>
      </w:r>
      <w:r w:rsidR="003840A3">
        <w:rPr>
          <w:rFonts w:ascii="Arial" w:hAnsi="Arial" w:cs="Arial"/>
          <w:sz w:val="28"/>
          <w:szCs w:val="28"/>
        </w:rPr>
        <w:t>and current</w:t>
      </w:r>
      <w:r w:rsidR="00314FD5">
        <w:rPr>
          <w:rFonts w:ascii="Arial" w:hAnsi="Arial" w:cs="Arial"/>
          <w:sz w:val="28"/>
          <w:szCs w:val="28"/>
        </w:rPr>
        <w:t xml:space="preserve"> problems potentially displaced to </w:t>
      </w:r>
      <w:r w:rsidR="005A4D46">
        <w:rPr>
          <w:rFonts w:ascii="Arial" w:hAnsi="Arial" w:cs="Arial"/>
          <w:sz w:val="28"/>
          <w:szCs w:val="28"/>
        </w:rPr>
        <w:t xml:space="preserve">other </w:t>
      </w:r>
      <w:r w:rsidR="00314FD5">
        <w:rPr>
          <w:rFonts w:ascii="Arial" w:hAnsi="Arial" w:cs="Arial"/>
          <w:sz w:val="28"/>
          <w:szCs w:val="28"/>
        </w:rPr>
        <w:t>nearby streets. Members also have concerns that schemes may be</w:t>
      </w:r>
      <w:r w:rsidR="005A4D46">
        <w:rPr>
          <w:rFonts w:ascii="Arial" w:hAnsi="Arial" w:cs="Arial"/>
          <w:sz w:val="28"/>
          <w:szCs w:val="28"/>
        </w:rPr>
        <w:t xml:space="preserve"> subject to lengthy</w:t>
      </w:r>
      <w:r w:rsidR="00314FD5">
        <w:rPr>
          <w:rFonts w:ascii="Arial" w:hAnsi="Arial" w:cs="Arial"/>
          <w:sz w:val="28"/>
          <w:szCs w:val="28"/>
        </w:rPr>
        <w:t xml:space="preserve"> delay</w:t>
      </w:r>
      <w:r w:rsidR="005A4D46">
        <w:rPr>
          <w:rFonts w:ascii="Arial" w:hAnsi="Arial" w:cs="Arial"/>
          <w:sz w:val="28"/>
          <w:szCs w:val="28"/>
        </w:rPr>
        <w:t xml:space="preserve">s </w:t>
      </w:r>
      <w:r w:rsidR="00314FD5">
        <w:rPr>
          <w:rFonts w:ascii="Arial" w:hAnsi="Arial" w:cs="Arial"/>
          <w:sz w:val="28"/>
          <w:szCs w:val="28"/>
        </w:rPr>
        <w:t xml:space="preserve">or even prevented by large numbers of objections from people who currently enjoy the privilege of parking </w:t>
      </w:r>
      <w:r w:rsidR="00E06131">
        <w:rPr>
          <w:rFonts w:ascii="Arial" w:hAnsi="Arial" w:cs="Arial"/>
          <w:sz w:val="28"/>
          <w:szCs w:val="28"/>
        </w:rPr>
        <w:t>on the footway</w:t>
      </w:r>
      <w:r w:rsidR="005A4D46">
        <w:rPr>
          <w:rFonts w:ascii="Arial" w:hAnsi="Arial" w:cs="Arial"/>
          <w:sz w:val="28"/>
          <w:szCs w:val="28"/>
        </w:rPr>
        <w:t xml:space="preserve"> without penalty or charge</w:t>
      </w:r>
      <w:r w:rsidR="00E06131">
        <w:rPr>
          <w:rFonts w:ascii="Arial" w:hAnsi="Arial" w:cs="Arial"/>
          <w:sz w:val="28"/>
          <w:szCs w:val="28"/>
        </w:rPr>
        <w:t>.</w:t>
      </w:r>
    </w:p>
    <w:p w14:paraId="07CF9799" w14:textId="77777777" w:rsidR="00E06131" w:rsidRDefault="00E06131">
      <w:pPr>
        <w:rPr>
          <w:rFonts w:ascii="Arial" w:hAnsi="Arial" w:cs="Arial"/>
          <w:sz w:val="28"/>
          <w:szCs w:val="28"/>
        </w:rPr>
      </w:pPr>
    </w:p>
    <w:p w14:paraId="0792B2D3" w14:textId="0D58E0E7" w:rsidR="00E06131" w:rsidRDefault="00E06131">
      <w:pPr>
        <w:rPr>
          <w:rFonts w:ascii="Arial" w:hAnsi="Arial" w:cs="Arial"/>
          <w:i/>
          <w:iCs/>
          <w:sz w:val="28"/>
          <w:szCs w:val="28"/>
        </w:rPr>
      </w:pPr>
      <w:r w:rsidRPr="00E06131">
        <w:rPr>
          <w:rFonts w:ascii="Arial" w:hAnsi="Arial" w:cs="Arial"/>
          <w:i/>
          <w:iCs/>
          <w:sz w:val="28"/>
          <w:szCs w:val="28"/>
        </w:rPr>
        <w:t>Option 2 - introduce an outright ban on pavement parking (with exemptions)</w:t>
      </w:r>
    </w:p>
    <w:p w14:paraId="25B8C6FA" w14:textId="3CB61C1E" w:rsidR="00E06131" w:rsidRDefault="00E06131">
      <w:pPr>
        <w:rPr>
          <w:rFonts w:ascii="Arial" w:hAnsi="Arial" w:cs="Arial"/>
          <w:i/>
          <w:iCs/>
          <w:sz w:val="28"/>
          <w:szCs w:val="28"/>
        </w:rPr>
      </w:pPr>
    </w:p>
    <w:p w14:paraId="316186B0" w14:textId="5E1D4563" w:rsidR="00E06131" w:rsidRDefault="00E06131">
      <w:pPr>
        <w:rPr>
          <w:rFonts w:ascii="Arial" w:hAnsi="Arial" w:cs="Arial"/>
          <w:sz w:val="28"/>
          <w:szCs w:val="28"/>
        </w:rPr>
      </w:pPr>
      <w:r>
        <w:rPr>
          <w:rFonts w:ascii="Arial" w:hAnsi="Arial" w:cs="Arial"/>
          <w:sz w:val="28"/>
          <w:szCs w:val="28"/>
        </w:rPr>
        <w:t>An outright ban on pavement parking is the most challenging but potentially the most transformative of all the</w:t>
      </w:r>
      <w:r w:rsidR="005A4D46">
        <w:rPr>
          <w:rFonts w:ascii="Arial" w:hAnsi="Arial" w:cs="Arial"/>
          <w:sz w:val="28"/>
          <w:szCs w:val="28"/>
        </w:rPr>
        <w:t xml:space="preserve"> three</w:t>
      </w:r>
      <w:r>
        <w:rPr>
          <w:rFonts w:ascii="Arial" w:hAnsi="Arial" w:cs="Arial"/>
          <w:sz w:val="28"/>
          <w:szCs w:val="28"/>
        </w:rPr>
        <w:t xml:space="preserve"> options</w:t>
      </w:r>
      <w:r w:rsidR="005A4D46">
        <w:rPr>
          <w:rFonts w:ascii="Arial" w:hAnsi="Arial" w:cs="Arial"/>
          <w:sz w:val="28"/>
          <w:szCs w:val="28"/>
        </w:rPr>
        <w:t xml:space="preserve"> </w:t>
      </w:r>
      <w:r w:rsidR="00512665">
        <w:rPr>
          <w:rFonts w:ascii="Arial" w:hAnsi="Arial" w:cs="Arial"/>
          <w:sz w:val="28"/>
          <w:szCs w:val="28"/>
        </w:rPr>
        <w:t>presented</w:t>
      </w:r>
      <w:r>
        <w:rPr>
          <w:rFonts w:ascii="Arial" w:hAnsi="Arial" w:cs="Arial"/>
          <w:sz w:val="28"/>
          <w:szCs w:val="28"/>
        </w:rPr>
        <w:t xml:space="preserve">. From an </w:t>
      </w:r>
      <w:proofErr w:type="spellStart"/>
      <w:r>
        <w:rPr>
          <w:rFonts w:ascii="Arial" w:hAnsi="Arial" w:cs="Arial"/>
          <w:sz w:val="28"/>
          <w:szCs w:val="28"/>
        </w:rPr>
        <w:t>Imtac</w:t>
      </w:r>
      <w:proofErr w:type="spellEnd"/>
      <w:r>
        <w:rPr>
          <w:rFonts w:ascii="Arial" w:hAnsi="Arial" w:cs="Arial"/>
          <w:sz w:val="28"/>
          <w:szCs w:val="28"/>
        </w:rPr>
        <w:t xml:space="preserve"> perspective it is the only option that sends a clear message that priorities have genuinely changed, and the sustainable transport hierarchy will be implemented.</w:t>
      </w:r>
      <w:r w:rsidR="000C1050">
        <w:rPr>
          <w:rFonts w:ascii="Arial" w:hAnsi="Arial" w:cs="Arial"/>
          <w:sz w:val="28"/>
          <w:szCs w:val="28"/>
        </w:rPr>
        <w:t xml:space="preserve"> Although the consultation suggests that exemptions may be a possibility, the Committee recognises exemptions </w:t>
      </w:r>
      <w:r w:rsidR="005A4D46">
        <w:rPr>
          <w:rFonts w:ascii="Arial" w:hAnsi="Arial" w:cs="Arial"/>
          <w:sz w:val="28"/>
          <w:szCs w:val="28"/>
        </w:rPr>
        <w:t xml:space="preserve">will be </w:t>
      </w:r>
      <w:r w:rsidR="000C1050">
        <w:rPr>
          <w:rFonts w:ascii="Arial" w:hAnsi="Arial" w:cs="Arial"/>
          <w:sz w:val="28"/>
          <w:szCs w:val="28"/>
        </w:rPr>
        <w:t>an inevitability given the design of some of our streets, the level of car ownership and the need</w:t>
      </w:r>
      <w:r w:rsidR="005A4D46">
        <w:rPr>
          <w:rFonts w:ascii="Arial" w:hAnsi="Arial" w:cs="Arial"/>
          <w:sz w:val="28"/>
          <w:szCs w:val="28"/>
        </w:rPr>
        <w:t xml:space="preserve"> to maintain</w:t>
      </w:r>
      <w:r w:rsidR="000C1050">
        <w:rPr>
          <w:rFonts w:ascii="Arial" w:hAnsi="Arial" w:cs="Arial"/>
          <w:sz w:val="28"/>
          <w:szCs w:val="28"/>
        </w:rPr>
        <w:t xml:space="preserve"> emergency service</w:t>
      </w:r>
      <w:r w:rsidR="005A4D46">
        <w:rPr>
          <w:rFonts w:ascii="Arial" w:hAnsi="Arial" w:cs="Arial"/>
          <w:sz w:val="28"/>
          <w:szCs w:val="28"/>
        </w:rPr>
        <w:t xml:space="preserve"> access</w:t>
      </w:r>
      <w:r w:rsidR="000C1050">
        <w:rPr>
          <w:rFonts w:ascii="Arial" w:hAnsi="Arial" w:cs="Arial"/>
          <w:sz w:val="28"/>
          <w:szCs w:val="28"/>
        </w:rPr>
        <w:t>.</w:t>
      </w:r>
    </w:p>
    <w:p w14:paraId="6788EE6D" w14:textId="0B2FAECE" w:rsidR="00105864" w:rsidRDefault="00105864">
      <w:pPr>
        <w:rPr>
          <w:rFonts w:ascii="Arial" w:hAnsi="Arial" w:cs="Arial"/>
          <w:sz w:val="28"/>
          <w:szCs w:val="28"/>
        </w:rPr>
      </w:pPr>
    </w:p>
    <w:p w14:paraId="3F51DB32" w14:textId="31F26504" w:rsidR="00105864" w:rsidRDefault="00105864">
      <w:pPr>
        <w:rPr>
          <w:rFonts w:ascii="Arial" w:hAnsi="Arial" w:cs="Arial"/>
          <w:sz w:val="28"/>
          <w:szCs w:val="28"/>
        </w:rPr>
      </w:pPr>
      <w:r>
        <w:rPr>
          <w:rFonts w:ascii="Arial" w:hAnsi="Arial" w:cs="Arial"/>
          <w:sz w:val="28"/>
          <w:szCs w:val="28"/>
        </w:rPr>
        <w:t xml:space="preserve">The major drawback of this option is the likely timeframes involved. The passage of legislation, followed by the significant work required identifying exemptions and then implementation may mean that no tangible changes </w:t>
      </w:r>
      <w:r w:rsidR="005A4D46">
        <w:rPr>
          <w:rFonts w:ascii="Arial" w:hAnsi="Arial" w:cs="Arial"/>
          <w:sz w:val="28"/>
          <w:szCs w:val="28"/>
        </w:rPr>
        <w:t>may be</w:t>
      </w:r>
      <w:r>
        <w:rPr>
          <w:rFonts w:ascii="Arial" w:hAnsi="Arial" w:cs="Arial"/>
          <w:sz w:val="28"/>
          <w:szCs w:val="28"/>
        </w:rPr>
        <w:t xml:space="preserve"> made for 5 to 10 years. </w:t>
      </w:r>
      <w:r w:rsidR="005A4D46">
        <w:rPr>
          <w:rFonts w:ascii="Arial" w:hAnsi="Arial" w:cs="Arial"/>
          <w:sz w:val="28"/>
          <w:szCs w:val="28"/>
        </w:rPr>
        <w:t>The fact that Scotland is ahead of Northern Ireland in introducing this option provides the opportunity to learn and benefit from experiences there.</w:t>
      </w:r>
    </w:p>
    <w:p w14:paraId="23034C61" w14:textId="062D724F" w:rsidR="000C1050" w:rsidRDefault="000C1050">
      <w:pPr>
        <w:rPr>
          <w:rFonts w:ascii="Arial" w:hAnsi="Arial" w:cs="Arial"/>
          <w:sz w:val="28"/>
          <w:szCs w:val="28"/>
        </w:rPr>
      </w:pPr>
    </w:p>
    <w:p w14:paraId="1886FC58" w14:textId="7371321D" w:rsidR="000C1050" w:rsidRPr="000C1050" w:rsidRDefault="000C1050">
      <w:pPr>
        <w:rPr>
          <w:rFonts w:ascii="Arial" w:hAnsi="Arial" w:cs="Arial"/>
          <w:i/>
          <w:iCs/>
          <w:sz w:val="28"/>
          <w:szCs w:val="28"/>
        </w:rPr>
      </w:pPr>
      <w:r w:rsidRPr="000C1050">
        <w:rPr>
          <w:rFonts w:ascii="Arial" w:hAnsi="Arial" w:cs="Arial"/>
          <w:i/>
          <w:iCs/>
          <w:sz w:val="28"/>
          <w:szCs w:val="28"/>
        </w:rPr>
        <w:lastRenderedPageBreak/>
        <w:t>Option 3 – introduce powers that would allow the Department’s Traffic Attendants to enforce against vehicles found to be parked on the pavement and causing an obstruction</w:t>
      </w:r>
    </w:p>
    <w:p w14:paraId="1F8AF773" w14:textId="77777777" w:rsidR="000C1050" w:rsidRDefault="000C1050">
      <w:pPr>
        <w:rPr>
          <w:rFonts w:ascii="Arial" w:hAnsi="Arial" w:cs="Arial"/>
          <w:sz w:val="28"/>
          <w:szCs w:val="28"/>
        </w:rPr>
      </w:pPr>
    </w:p>
    <w:p w14:paraId="498CAD08" w14:textId="6DB804AE" w:rsidR="00105864" w:rsidRDefault="00EB6704">
      <w:pPr>
        <w:rPr>
          <w:rFonts w:ascii="Arial" w:hAnsi="Arial" w:cs="Arial"/>
          <w:sz w:val="28"/>
          <w:szCs w:val="28"/>
        </w:rPr>
      </w:pPr>
      <w:r>
        <w:rPr>
          <w:rFonts w:ascii="Arial" w:hAnsi="Arial" w:cs="Arial"/>
          <w:sz w:val="28"/>
          <w:szCs w:val="28"/>
        </w:rPr>
        <w:t>It is likely that this option could be introduced more quickly than an outright ban</w:t>
      </w:r>
      <w:r w:rsidR="000A2045">
        <w:rPr>
          <w:rFonts w:ascii="Arial" w:hAnsi="Arial" w:cs="Arial"/>
          <w:sz w:val="28"/>
          <w:szCs w:val="28"/>
        </w:rPr>
        <w:t xml:space="preserve">. </w:t>
      </w:r>
      <w:r w:rsidR="00F554F4">
        <w:rPr>
          <w:rFonts w:ascii="Arial" w:hAnsi="Arial" w:cs="Arial"/>
          <w:sz w:val="28"/>
          <w:szCs w:val="28"/>
        </w:rPr>
        <w:t>However,</w:t>
      </w:r>
      <w:r w:rsidR="000A2045">
        <w:rPr>
          <w:rFonts w:ascii="Arial" w:hAnsi="Arial" w:cs="Arial"/>
          <w:sz w:val="28"/>
          <w:szCs w:val="28"/>
        </w:rPr>
        <w:t xml:space="preserve"> the Committee has significant reservations about the subjective nature of defining “causing an obstruction” and has concerns this would lead to the same confusion and patchy enforcement that currently exists. For this reason, the Committee does not see this option as a </w:t>
      </w:r>
      <w:r w:rsidR="00CD0C99">
        <w:rPr>
          <w:rFonts w:ascii="Arial" w:hAnsi="Arial" w:cs="Arial"/>
          <w:sz w:val="28"/>
          <w:szCs w:val="28"/>
        </w:rPr>
        <w:t>long-term</w:t>
      </w:r>
      <w:r w:rsidR="000A2045">
        <w:rPr>
          <w:rFonts w:ascii="Arial" w:hAnsi="Arial" w:cs="Arial"/>
          <w:sz w:val="28"/>
          <w:szCs w:val="28"/>
        </w:rPr>
        <w:t xml:space="preserve"> solution.</w:t>
      </w:r>
    </w:p>
    <w:p w14:paraId="5B60C745" w14:textId="2AC992D6" w:rsidR="000A2045" w:rsidRDefault="000A2045">
      <w:pPr>
        <w:rPr>
          <w:rFonts w:ascii="Arial" w:hAnsi="Arial" w:cs="Arial"/>
          <w:sz w:val="28"/>
          <w:szCs w:val="28"/>
        </w:rPr>
      </w:pPr>
    </w:p>
    <w:p w14:paraId="21F6CBAA" w14:textId="5E22A2C1" w:rsidR="00AD46D4" w:rsidRDefault="00AD46D4">
      <w:pPr>
        <w:rPr>
          <w:rFonts w:ascii="Arial" w:hAnsi="Arial" w:cs="Arial"/>
          <w:b/>
          <w:bCs/>
          <w:sz w:val="28"/>
          <w:szCs w:val="28"/>
        </w:rPr>
      </w:pPr>
      <w:r>
        <w:rPr>
          <w:rFonts w:ascii="Arial" w:hAnsi="Arial" w:cs="Arial"/>
          <w:b/>
          <w:bCs/>
          <w:sz w:val="28"/>
          <w:szCs w:val="28"/>
        </w:rPr>
        <w:t>Parking across dropped kerbs</w:t>
      </w:r>
    </w:p>
    <w:p w14:paraId="1A0074FF" w14:textId="77777777" w:rsidR="00053B4A" w:rsidRPr="00053B4A" w:rsidRDefault="00053B4A" w:rsidP="00053B4A">
      <w:pPr>
        <w:rPr>
          <w:rFonts w:ascii="Arial" w:hAnsi="Arial" w:cs="Arial"/>
          <w:b/>
          <w:bCs/>
          <w:sz w:val="28"/>
          <w:szCs w:val="28"/>
        </w:rPr>
      </w:pPr>
    </w:p>
    <w:p w14:paraId="1E95298A" w14:textId="77777777" w:rsidR="00053B4A" w:rsidRPr="00053B4A" w:rsidRDefault="00053B4A" w:rsidP="00053B4A">
      <w:pPr>
        <w:rPr>
          <w:rFonts w:ascii="Arial" w:hAnsi="Arial" w:cs="Arial"/>
          <w:sz w:val="28"/>
          <w:szCs w:val="28"/>
        </w:rPr>
      </w:pPr>
      <w:r w:rsidRPr="00053B4A">
        <w:rPr>
          <w:rFonts w:ascii="Arial" w:hAnsi="Arial" w:cs="Arial"/>
          <w:sz w:val="28"/>
          <w:szCs w:val="28"/>
        </w:rPr>
        <w:t xml:space="preserve">The consultation asks for feedback on addressing parking across dropped kerbs. </w:t>
      </w:r>
      <w:proofErr w:type="spellStart"/>
      <w:r w:rsidRPr="00053B4A">
        <w:rPr>
          <w:rFonts w:ascii="Arial" w:hAnsi="Arial" w:cs="Arial"/>
          <w:sz w:val="28"/>
          <w:szCs w:val="28"/>
        </w:rPr>
        <w:t>Imtac</w:t>
      </w:r>
      <w:proofErr w:type="spellEnd"/>
      <w:r w:rsidRPr="00053B4A">
        <w:rPr>
          <w:rFonts w:ascii="Arial" w:hAnsi="Arial" w:cs="Arial"/>
          <w:sz w:val="28"/>
          <w:szCs w:val="28"/>
        </w:rPr>
        <w:t xml:space="preserve"> is clear that this is anti-social behaviour, blocking essential access for many disabled people and older people and negating the benefits of public investment in infrastructure.  </w:t>
      </w:r>
    </w:p>
    <w:p w14:paraId="5B6750DF" w14:textId="77777777" w:rsidR="00053B4A" w:rsidRPr="00053B4A" w:rsidRDefault="00053B4A" w:rsidP="00053B4A">
      <w:pPr>
        <w:rPr>
          <w:rFonts w:ascii="Arial" w:hAnsi="Arial" w:cs="Arial"/>
          <w:sz w:val="28"/>
          <w:szCs w:val="28"/>
        </w:rPr>
      </w:pPr>
    </w:p>
    <w:p w14:paraId="25966EA1" w14:textId="0C4945DB" w:rsidR="00053B4A" w:rsidRPr="00053B4A" w:rsidRDefault="00053B4A" w:rsidP="00053B4A">
      <w:pPr>
        <w:rPr>
          <w:rFonts w:ascii="Arial" w:hAnsi="Arial" w:cs="Arial"/>
          <w:sz w:val="28"/>
          <w:szCs w:val="28"/>
        </w:rPr>
      </w:pPr>
      <w:r w:rsidRPr="00053B4A">
        <w:rPr>
          <w:rFonts w:ascii="Arial" w:hAnsi="Arial" w:cs="Arial"/>
          <w:sz w:val="28"/>
          <w:szCs w:val="28"/>
        </w:rPr>
        <w:t xml:space="preserve">The consultation also specifically notes that most dropped kerb facilities are found at junctions and parking within 15m of a junction is an offence under existing regulations.  As parking on corners restricts visibility for all road users and creates a road safety hazard, we consider this adds more reason to extending the Department’s Traffic Attendants’ existing powers to enforce the offence of parking within 15m of a junction if the corner has not been marked on the ground with double yellow lines.     </w:t>
      </w:r>
    </w:p>
    <w:p w14:paraId="171ED462" w14:textId="77777777" w:rsidR="00053B4A" w:rsidRPr="00053B4A" w:rsidRDefault="00053B4A" w:rsidP="00053B4A">
      <w:pPr>
        <w:rPr>
          <w:rFonts w:ascii="Arial" w:hAnsi="Arial" w:cs="Arial"/>
          <w:sz w:val="28"/>
          <w:szCs w:val="28"/>
        </w:rPr>
      </w:pPr>
    </w:p>
    <w:p w14:paraId="14C6686E" w14:textId="327A6231" w:rsidR="00053B4A" w:rsidRPr="00053B4A" w:rsidRDefault="00053B4A" w:rsidP="00053B4A">
      <w:pPr>
        <w:rPr>
          <w:rFonts w:ascii="Arial" w:hAnsi="Arial" w:cs="Arial"/>
          <w:sz w:val="28"/>
          <w:szCs w:val="28"/>
        </w:rPr>
      </w:pPr>
      <w:r w:rsidRPr="00053B4A">
        <w:rPr>
          <w:rFonts w:ascii="Arial" w:hAnsi="Arial" w:cs="Arial"/>
          <w:sz w:val="28"/>
          <w:szCs w:val="28"/>
        </w:rPr>
        <w:t xml:space="preserve">Again, Scotland is ahead of Northern Ireland in dealing with this issue and the opportunity taken to learn and benefit from experiences there.  Consideration could also be given to considering whether the issue of enforcing parking infringements at dropped kerbs could be advanced separately to general pavement parking legislation </w:t>
      </w:r>
    </w:p>
    <w:p w14:paraId="7B7F2F54" w14:textId="77777777" w:rsidR="00AD46D4" w:rsidRDefault="00AD46D4">
      <w:pPr>
        <w:rPr>
          <w:rFonts w:ascii="Arial" w:hAnsi="Arial" w:cs="Arial"/>
          <w:b/>
          <w:bCs/>
          <w:sz w:val="28"/>
          <w:szCs w:val="28"/>
        </w:rPr>
      </w:pPr>
    </w:p>
    <w:p w14:paraId="1212DD62" w14:textId="13F00F14" w:rsidR="000A2045" w:rsidRPr="000A2045" w:rsidRDefault="000A2045">
      <w:pPr>
        <w:rPr>
          <w:rFonts w:ascii="Arial" w:hAnsi="Arial" w:cs="Arial"/>
          <w:b/>
          <w:bCs/>
          <w:sz w:val="28"/>
          <w:szCs w:val="28"/>
        </w:rPr>
      </w:pPr>
      <w:r w:rsidRPr="000A2045">
        <w:rPr>
          <w:rFonts w:ascii="Arial" w:hAnsi="Arial" w:cs="Arial"/>
          <w:b/>
          <w:bCs/>
          <w:sz w:val="28"/>
          <w:szCs w:val="28"/>
        </w:rPr>
        <w:t>Recommendations</w:t>
      </w:r>
    </w:p>
    <w:p w14:paraId="31C8B29D" w14:textId="54791F0C" w:rsidR="00105864" w:rsidRDefault="00105864">
      <w:pPr>
        <w:rPr>
          <w:rFonts w:ascii="Arial" w:hAnsi="Arial" w:cs="Arial"/>
          <w:sz w:val="28"/>
          <w:szCs w:val="28"/>
        </w:rPr>
      </w:pPr>
    </w:p>
    <w:p w14:paraId="45A8E288" w14:textId="604E78E9" w:rsidR="000A2045" w:rsidRDefault="000A2045">
      <w:pPr>
        <w:rPr>
          <w:rFonts w:ascii="Arial" w:hAnsi="Arial" w:cs="Arial"/>
          <w:sz w:val="28"/>
          <w:szCs w:val="28"/>
        </w:rPr>
      </w:pPr>
      <w:r>
        <w:rPr>
          <w:rFonts w:ascii="Arial" w:hAnsi="Arial" w:cs="Arial"/>
          <w:sz w:val="28"/>
          <w:szCs w:val="28"/>
        </w:rPr>
        <w:t xml:space="preserve">Based on current Departmental policy and the lived experiences of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w:t>
      </w:r>
      <w:r w:rsidR="00CD0C99">
        <w:rPr>
          <w:rFonts w:ascii="Arial" w:hAnsi="Arial" w:cs="Arial"/>
          <w:sz w:val="28"/>
          <w:szCs w:val="28"/>
        </w:rPr>
        <w:t xml:space="preserve"> </w:t>
      </w:r>
      <w:proofErr w:type="spellStart"/>
      <w:r w:rsidR="00CD0C99">
        <w:rPr>
          <w:rFonts w:ascii="Arial" w:hAnsi="Arial" w:cs="Arial"/>
          <w:sz w:val="28"/>
          <w:szCs w:val="28"/>
        </w:rPr>
        <w:t>Imtac</w:t>
      </w:r>
      <w:proofErr w:type="spellEnd"/>
      <w:r w:rsidR="00CD0C99">
        <w:rPr>
          <w:rFonts w:ascii="Arial" w:hAnsi="Arial" w:cs="Arial"/>
          <w:sz w:val="28"/>
          <w:szCs w:val="28"/>
        </w:rPr>
        <w:t xml:space="preserve"> recommends that </w:t>
      </w:r>
      <w:r w:rsidR="00A21981">
        <w:rPr>
          <w:rFonts w:ascii="Arial" w:hAnsi="Arial" w:cs="Arial"/>
          <w:sz w:val="28"/>
          <w:szCs w:val="28"/>
        </w:rPr>
        <w:t xml:space="preserve">consultation </w:t>
      </w:r>
      <w:r w:rsidR="00CD0C99">
        <w:rPr>
          <w:rFonts w:ascii="Arial" w:hAnsi="Arial" w:cs="Arial"/>
          <w:sz w:val="28"/>
          <w:szCs w:val="28"/>
        </w:rPr>
        <w:t>option 2 – an outright ban (with exemptions)</w:t>
      </w:r>
      <w:r w:rsidR="00A21981">
        <w:rPr>
          <w:rFonts w:ascii="Arial" w:hAnsi="Arial" w:cs="Arial"/>
          <w:sz w:val="28"/>
          <w:szCs w:val="28"/>
        </w:rPr>
        <w:t xml:space="preserve"> on pavement parking</w:t>
      </w:r>
      <w:r w:rsidR="00CD0C99">
        <w:rPr>
          <w:rFonts w:ascii="Arial" w:hAnsi="Arial" w:cs="Arial"/>
          <w:sz w:val="28"/>
          <w:szCs w:val="28"/>
        </w:rPr>
        <w:t xml:space="preserve"> be prioritised. For the Committee legislating for an outright ban send</w:t>
      </w:r>
      <w:r w:rsidR="00A21981">
        <w:rPr>
          <w:rFonts w:ascii="Arial" w:hAnsi="Arial" w:cs="Arial"/>
          <w:sz w:val="28"/>
          <w:szCs w:val="28"/>
        </w:rPr>
        <w:t>s</w:t>
      </w:r>
      <w:r w:rsidR="00CD0C99">
        <w:rPr>
          <w:rFonts w:ascii="Arial" w:hAnsi="Arial" w:cs="Arial"/>
          <w:sz w:val="28"/>
          <w:szCs w:val="28"/>
        </w:rPr>
        <w:t xml:space="preserve"> an unambiguous message about</w:t>
      </w:r>
      <w:r w:rsidR="00327006">
        <w:rPr>
          <w:rFonts w:ascii="Arial" w:hAnsi="Arial" w:cs="Arial"/>
          <w:sz w:val="28"/>
          <w:szCs w:val="28"/>
        </w:rPr>
        <w:t xml:space="preserve"> a</w:t>
      </w:r>
      <w:r w:rsidR="00CD0C99">
        <w:rPr>
          <w:rFonts w:ascii="Arial" w:hAnsi="Arial" w:cs="Arial"/>
          <w:sz w:val="28"/>
          <w:szCs w:val="28"/>
        </w:rPr>
        <w:t xml:space="preserve"> sustainable transport hierarchy that will prioritise people walking and wheeling. We also believe that ultimately this is the only option that can deliver the type of transformative change in behaviours envisaged by the</w:t>
      </w:r>
      <w:r w:rsidR="00327006">
        <w:rPr>
          <w:rFonts w:ascii="Arial" w:hAnsi="Arial" w:cs="Arial"/>
          <w:sz w:val="28"/>
          <w:szCs w:val="28"/>
        </w:rPr>
        <w:t xml:space="preserve"> Department’s</w:t>
      </w:r>
      <w:r w:rsidR="00CD0C99">
        <w:rPr>
          <w:rFonts w:ascii="Arial" w:hAnsi="Arial" w:cs="Arial"/>
          <w:sz w:val="28"/>
          <w:szCs w:val="28"/>
        </w:rPr>
        <w:t xml:space="preserve"> </w:t>
      </w:r>
      <w:r w:rsidR="00327006">
        <w:rPr>
          <w:rFonts w:ascii="Arial" w:hAnsi="Arial" w:cs="Arial"/>
          <w:sz w:val="28"/>
          <w:szCs w:val="28"/>
        </w:rPr>
        <w:t>“</w:t>
      </w:r>
      <w:r w:rsidR="00CD0C99">
        <w:rPr>
          <w:rFonts w:ascii="Arial" w:hAnsi="Arial" w:cs="Arial"/>
          <w:sz w:val="28"/>
          <w:szCs w:val="28"/>
        </w:rPr>
        <w:t>Planning for the Future of Transport</w:t>
      </w:r>
      <w:r w:rsidR="00327006">
        <w:rPr>
          <w:rFonts w:ascii="Arial" w:hAnsi="Arial" w:cs="Arial"/>
          <w:sz w:val="28"/>
          <w:szCs w:val="28"/>
        </w:rPr>
        <w:t>”</w:t>
      </w:r>
      <w:r w:rsidR="00CD0C99">
        <w:rPr>
          <w:rFonts w:ascii="Arial" w:hAnsi="Arial" w:cs="Arial"/>
          <w:sz w:val="28"/>
          <w:szCs w:val="28"/>
        </w:rPr>
        <w:t xml:space="preserve"> document.</w:t>
      </w:r>
    </w:p>
    <w:p w14:paraId="42860C31" w14:textId="2B8E9A4E" w:rsidR="00CD0C99" w:rsidRDefault="00CD0C99">
      <w:pPr>
        <w:rPr>
          <w:rFonts w:ascii="Arial" w:hAnsi="Arial" w:cs="Arial"/>
          <w:sz w:val="28"/>
          <w:szCs w:val="28"/>
        </w:rPr>
      </w:pPr>
    </w:p>
    <w:p w14:paraId="7037A1BD" w14:textId="262C06C1" w:rsidR="00F554F4" w:rsidRDefault="00F554F4">
      <w:pPr>
        <w:rPr>
          <w:rFonts w:ascii="Arial" w:hAnsi="Arial" w:cs="Arial"/>
          <w:sz w:val="28"/>
          <w:szCs w:val="28"/>
        </w:rPr>
      </w:pPr>
      <w:r>
        <w:rPr>
          <w:rFonts w:ascii="Arial" w:hAnsi="Arial" w:cs="Arial"/>
          <w:sz w:val="28"/>
          <w:szCs w:val="28"/>
        </w:rPr>
        <w:t>The major concern with the preferred option of the Committee is the timeframe involved in implementation. We are realistic</w:t>
      </w:r>
      <w:r w:rsidR="00327006">
        <w:rPr>
          <w:rFonts w:ascii="Arial" w:hAnsi="Arial" w:cs="Arial"/>
          <w:sz w:val="28"/>
          <w:szCs w:val="28"/>
        </w:rPr>
        <w:t xml:space="preserve"> in recognising</w:t>
      </w:r>
      <w:r>
        <w:rPr>
          <w:rFonts w:ascii="Arial" w:hAnsi="Arial" w:cs="Arial"/>
          <w:sz w:val="28"/>
          <w:szCs w:val="28"/>
        </w:rPr>
        <w:t xml:space="preserve"> the scale of the challenges involved. For this </w:t>
      </w:r>
      <w:r w:rsidR="00DE123B">
        <w:rPr>
          <w:rFonts w:ascii="Arial" w:hAnsi="Arial" w:cs="Arial"/>
          <w:sz w:val="28"/>
          <w:szCs w:val="28"/>
        </w:rPr>
        <w:t>reason,</w:t>
      </w:r>
      <w:r>
        <w:rPr>
          <w:rFonts w:ascii="Arial" w:hAnsi="Arial" w:cs="Arial"/>
          <w:sz w:val="28"/>
          <w:szCs w:val="28"/>
        </w:rPr>
        <w:t xml:space="preserve"> we would be keen to have further discussions with the Department about</w:t>
      </w:r>
      <w:r w:rsidR="00DE123B">
        <w:rPr>
          <w:rFonts w:ascii="Arial" w:hAnsi="Arial" w:cs="Arial"/>
          <w:sz w:val="28"/>
          <w:szCs w:val="28"/>
        </w:rPr>
        <w:t xml:space="preserve"> potential</w:t>
      </w:r>
      <w:r>
        <w:rPr>
          <w:rFonts w:ascii="Arial" w:hAnsi="Arial" w:cs="Arial"/>
          <w:sz w:val="28"/>
          <w:szCs w:val="28"/>
        </w:rPr>
        <w:t xml:space="preserve"> interim measures, including</w:t>
      </w:r>
      <w:r w:rsidR="00327006">
        <w:rPr>
          <w:rFonts w:ascii="Arial" w:hAnsi="Arial" w:cs="Arial"/>
          <w:sz w:val="28"/>
          <w:szCs w:val="28"/>
        </w:rPr>
        <w:t xml:space="preserve"> </w:t>
      </w:r>
      <w:r w:rsidR="00327006" w:rsidRPr="00327006">
        <w:rPr>
          <w:rFonts w:ascii="Arial" w:hAnsi="Arial" w:cs="Arial"/>
          <w:sz w:val="28"/>
          <w:szCs w:val="28"/>
        </w:rPr>
        <w:t>experimental schemes in certain towns and cities where there are identified problems associated with pavement parking</w:t>
      </w:r>
      <w:r w:rsidR="00327006">
        <w:rPr>
          <w:rFonts w:ascii="Arial" w:hAnsi="Arial" w:cs="Arial"/>
          <w:sz w:val="28"/>
          <w:szCs w:val="28"/>
        </w:rPr>
        <w:t xml:space="preserve"> and / or the possible</w:t>
      </w:r>
      <w:r>
        <w:rPr>
          <w:rFonts w:ascii="Arial" w:hAnsi="Arial" w:cs="Arial"/>
          <w:sz w:val="28"/>
          <w:szCs w:val="28"/>
        </w:rPr>
        <w:t xml:space="preserve"> use of both option 1 and 3 outlined in the paper, which could be introduced to begin to tackle issues whilst the process of </w:t>
      </w:r>
      <w:r w:rsidR="00DE123B">
        <w:rPr>
          <w:rFonts w:ascii="Arial" w:hAnsi="Arial" w:cs="Arial"/>
          <w:sz w:val="28"/>
          <w:szCs w:val="28"/>
        </w:rPr>
        <w:t>an outright ban is progressed.</w:t>
      </w:r>
    </w:p>
    <w:p w14:paraId="648E35D0" w14:textId="77777777" w:rsidR="00BC129C" w:rsidRDefault="00BC129C" w:rsidP="00BC129C">
      <w:pPr>
        <w:rPr>
          <w:rFonts w:ascii="Arial" w:hAnsi="Arial" w:cs="Arial"/>
          <w:sz w:val="28"/>
          <w:szCs w:val="28"/>
        </w:rPr>
      </w:pPr>
    </w:p>
    <w:p w14:paraId="69F5009D" w14:textId="23FBD483" w:rsidR="00BC129C" w:rsidRDefault="00BC129C" w:rsidP="00BC129C">
      <w:pPr>
        <w:rPr>
          <w:rFonts w:ascii="Arial" w:hAnsi="Arial" w:cs="Arial"/>
          <w:sz w:val="28"/>
          <w:szCs w:val="28"/>
        </w:rPr>
      </w:pPr>
      <w:r>
        <w:rPr>
          <w:rFonts w:ascii="Arial" w:hAnsi="Arial" w:cs="Arial"/>
          <w:sz w:val="28"/>
          <w:szCs w:val="28"/>
        </w:rPr>
        <w:t>The Committee recommends that the Department introduce</w:t>
      </w:r>
      <w:r w:rsidR="00512665">
        <w:rPr>
          <w:rFonts w:ascii="Arial" w:hAnsi="Arial" w:cs="Arial"/>
          <w:sz w:val="28"/>
          <w:szCs w:val="28"/>
        </w:rPr>
        <w:t>s</w:t>
      </w:r>
      <w:r>
        <w:rPr>
          <w:rFonts w:ascii="Arial" w:hAnsi="Arial" w:cs="Arial"/>
          <w:sz w:val="28"/>
          <w:szCs w:val="28"/>
        </w:rPr>
        <w:t xml:space="preserve"> changes that ensure that parking across dropped kerbs can be enforced, given the essential nature of the infrastructure in making the pedestrian environment accessible to disabled people, older people, and others. We would </w:t>
      </w:r>
      <w:r w:rsidR="00FE6340">
        <w:rPr>
          <w:rFonts w:ascii="Arial" w:hAnsi="Arial" w:cs="Arial"/>
          <w:sz w:val="28"/>
          <w:szCs w:val="28"/>
        </w:rPr>
        <w:t xml:space="preserve">further recommend that options be explored that will ensure a faster introduction of these changes compared with legislating for an outright ban on pavement parking. </w:t>
      </w:r>
      <w:r>
        <w:rPr>
          <w:rFonts w:ascii="Arial" w:hAnsi="Arial" w:cs="Arial"/>
          <w:sz w:val="28"/>
          <w:szCs w:val="28"/>
        </w:rPr>
        <w:t xml:space="preserve"> </w:t>
      </w:r>
    </w:p>
    <w:p w14:paraId="111EBFFC" w14:textId="63B7E855" w:rsidR="00DE123B" w:rsidRDefault="00DE123B">
      <w:pPr>
        <w:rPr>
          <w:rFonts w:ascii="Arial" w:hAnsi="Arial" w:cs="Arial"/>
          <w:sz w:val="28"/>
          <w:szCs w:val="28"/>
        </w:rPr>
      </w:pPr>
    </w:p>
    <w:p w14:paraId="2158F127" w14:textId="0F146E80" w:rsidR="00DE123B" w:rsidRDefault="00DE123B">
      <w:pPr>
        <w:rPr>
          <w:rFonts w:ascii="Arial" w:hAnsi="Arial" w:cs="Arial"/>
          <w:sz w:val="28"/>
          <w:szCs w:val="28"/>
        </w:rPr>
      </w:pPr>
      <w:r>
        <w:rPr>
          <w:rFonts w:ascii="Arial" w:hAnsi="Arial" w:cs="Arial"/>
          <w:sz w:val="28"/>
          <w:szCs w:val="28"/>
        </w:rPr>
        <w:t xml:space="preserve">A key issue for </w:t>
      </w:r>
      <w:r w:rsidR="00327006">
        <w:rPr>
          <w:rFonts w:ascii="Arial" w:hAnsi="Arial" w:cs="Arial"/>
          <w:sz w:val="28"/>
          <w:szCs w:val="28"/>
        </w:rPr>
        <w:t>the successful implementation of</w:t>
      </w:r>
      <w:r>
        <w:rPr>
          <w:rFonts w:ascii="Arial" w:hAnsi="Arial" w:cs="Arial"/>
          <w:sz w:val="28"/>
          <w:szCs w:val="28"/>
        </w:rPr>
        <w:t xml:space="preserve"> any change is messaging to the public and </w:t>
      </w:r>
      <w:r w:rsidR="00327006">
        <w:rPr>
          <w:rFonts w:ascii="Arial" w:hAnsi="Arial" w:cs="Arial"/>
          <w:sz w:val="28"/>
          <w:szCs w:val="28"/>
        </w:rPr>
        <w:t xml:space="preserve">the </w:t>
      </w:r>
      <w:r w:rsidR="00F95AD0">
        <w:rPr>
          <w:rFonts w:ascii="Arial" w:hAnsi="Arial" w:cs="Arial"/>
          <w:sz w:val="28"/>
          <w:szCs w:val="28"/>
        </w:rPr>
        <w:t>manage</w:t>
      </w:r>
      <w:r w:rsidR="00327006">
        <w:rPr>
          <w:rFonts w:ascii="Arial" w:hAnsi="Arial" w:cs="Arial"/>
          <w:sz w:val="28"/>
          <w:szCs w:val="28"/>
        </w:rPr>
        <w:t>ment of</w:t>
      </w:r>
      <w:r w:rsidR="00F95AD0">
        <w:rPr>
          <w:rFonts w:ascii="Arial" w:hAnsi="Arial" w:cs="Arial"/>
          <w:sz w:val="28"/>
          <w:szCs w:val="28"/>
        </w:rPr>
        <w:t xml:space="preserve"> expectations. For those currently impacted by pavement parking it is important not to overestimate the pace of likely changes. For car users it is important not to oversell the impact of the changes involved, for example making clear that an outright ban will include many areas where </w:t>
      </w:r>
      <w:r w:rsidR="00AD46D4">
        <w:rPr>
          <w:rFonts w:ascii="Arial" w:hAnsi="Arial" w:cs="Arial"/>
          <w:sz w:val="28"/>
          <w:szCs w:val="28"/>
        </w:rPr>
        <w:t>there will be exemptions</w:t>
      </w:r>
      <w:r w:rsidR="00F95AD0">
        <w:rPr>
          <w:rFonts w:ascii="Arial" w:hAnsi="Arial" w:cs="Arial"/>
          <w:sz w:val="28"/>
          <w:szCs w:val="28"/>
        </w:rPr>
        <w:t xml:space="preserve"> from restrictions.</w:t>
      </w:r>
      <w:r w:rsidR="00AD46D4">
        <w:rPr>
          <w:rFonts w:ascii="Arial" w:hAnsi="Arial" w:cs="Arial"/>
          <w:sz w:val="28"/>
          <w:szCs w:val="28"/>
        </w:rPr>
        <w:t xml:space="preserve"> The Committee also recommend</w:t>
      </w:r>
      <w:r w:rsidR="00512665">
        <w:rPr>
          <w:rFonts w:ascii="Arial" w:hAnsi="Arial" w:cs="Arial"/>
          <w:sz w:val="28"/>
          <w:szCs w:val="28"/>
        </w:rPr>
        <w:t>s</w:t>
      </w:r>
      <w:r w:rsidR="00AD46D4">
        <w:rPr>
          <w:rFonts w:ascii="Arial" w:hAnsi="Arial" w:cs="Arial"/>
          <w:sz w:val="28"/>
          <w:szCs w:val="28"/>
        </w:rPr>
        <w:t xml:space="preserve"> that a public campaign highlighting the impact of pavement parking continue as legislation is introduced, building on the recent “Think before you </w:t>
      </w:r>
      <w:r w:rsidR="00053B4A">
        <w:rPr>
          <w:rFonts w:ascii="Arial" w:hAnsi="Arial" w:cs="Arial"/>
          <w:sz w:val="28"/>
          <w:szCs w:val="28"/>
        </w:rPr>
        <w:t>park” campaign.</w:t>
      </w:r>
    </w:p>
    <w:p w14:paraId="62CDCB48" w14:textId="0BFC677F" w:rsidR="00E06131" w:rsidRDefault="00E06131">
      <w:pPr>
        <w:rPr>
          <w:rFonts w:ascii="Arial" w:hAnsi="Arial" w:cs="Arial"/>
          <w:sz w:val="28"/>
          <w:szCs w:val="28"/>
        </w:rPr>
      </w:pPr>
    </w:p>
    <w:p w14:paraId="6D1B1A8C" w14:textId="6E619FFD" w:rsidR="00E06131" w:rsidRPr="00E06131" w:rsidRDefault="00E06131">
      <w:pPr>
        <w:rPr>
          <w:rFonts w:ascii="Arial" w:hAnsi="Arial" w:cs="Arial"/>
          <w:sz w:val="28"/>
          <w:szCs w:val="28"/>
        </w:rPr>
      </w:pPr>
    </w:p>
    <w:sectPr w:rsidR="00E06131" w:rsidRPr="00E0613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FAF7" w14:textId="77777777" w:rsidR="00C43C56" w:rsidRDefault="00C43C56" w:rsidP="00B53E04">
      <w:r>
        <w:separator/>
      </w:r>
    </w:p>
  </w:endnote>
  <w:endnote w:type="continuationSeparator" w:id="0">
    <w:p w14:paraId="53BDC531" w14:textId="77777777" w:rsidR="00C43C56" w:rsidRDefault="00C43C56" w:rsidP="00B5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376799"/>
      <w:docPartObj>
        <w:docPartGallery w:val="Page Numbers (Bottom of Page)"/>
        <w:docPartUnique/>
      </w:docPartObj>
    </w:sdtPr>
    <w:sdtEndPr>
      <w:rPr>
        <w:rStyle w:val="PageNumber"/>
      </w:rPr>
    </w:sdtEndPr>
    <w:sdtContent>
      <w:p w14:paraId="1C6F0141" w14:textId="4D21572F" w:rsidR="00FE6340" w:rsidRDefault="00FE6340" w:rsidP="004F6F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A6C7" w14:textId="77777777" w:rsidR="00FE6340" w:rsidRDefault="00FE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3839520"/>
      <w:docPartObj>
        <w:docPartGallery w:val="Page Numbers (Bottom of Page)"/>
        <w:docPartUnique/>
      </w:docPartObj>
    </w:sdtPr>
    <w:sdtEndPr>
      <w:rPr>
        <w:rStyle w:val="PageNumber"/>
      </w:rPr>
    </w:sdtEndPr>
    <w:sdtContent>
      <w:p w14:paraId="2251319B" w14:textId="0463B922" w:rsidR="00FE6340" w:rsidRDefault="00FE6340" w:rsidP="004F6F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0AB1D" w14:textId="77777777" w:rsidR="00FE6340" w:rsidRDefault="00FE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067B" w14:textId="77777777" w:rsidR="00C43C56" w:rsidRDefault="00C43C56" w:rsidP="00B53E04">
      <w:r>
        <w:separator/>
      </w:r>
    </w:p>
  </w:footnote>
  <w:footnote w:type="continuationSeparator" w:id="0">
    <w:p w14:paraId="7C089AE8" w14:textId="77777777" w:rsidR="00C43C56" w:rsidRDefault="00C43C56" w:rsidP="00B53E04">
      <w:r>
        <w:continuationSeparator/>
      </w:r>
    </w:p>
  </w:footnote>
  <w:footnote w:id="1">
    <w:p w14:paraId="163B1799" w14:textId="46D44DEF" w:rsidR="00B53E04" w:rsidRDefault="00B53E04">
      <w:pPr>
        <w:pStyle w:val="FootnoteText"/>
      </w:pPr>
      <w:r>
        <w:rPr>
          <w:rStyle w:val="FootnoteReference"/>
        </w:rPr>
        <w:footnoteRef/>
      </w:r>
      <w:r>
        <w:t xml:space="preserve"> </w:t>
      </w:r>
      <w:hyperlink r:id="rId1" w:history="1">
        <w:r w:rsidR="005C1FA9" w:rsidRPr="00DB49E5">
          <w:rPr>
            <w:rStyle w:val="Hyperlink"/>
          </w:rPr>
          <w:t>https://www.infrastructure-ni.gov.uk/sites/default/files/publications/infrastructure/planning-for-the-future-of-transport-time-for-change.pdf</w:t>
        </w:r>
      </w:hyperlink>
      <w:r w:rsidR="005C1FA9">
        <w:t xml:space="preserve"> </w:t>
      </w:r>
    </w:p>
  </w:footnote>
  <w:footnote w:id="2">
    <w:p w14:paraId="12C7379F" w14:textId="0ED38FA3" w:rsidR="00FC6348" w:rsidRDefault="00FC6348">
      <w:pPr>
        <w:pStyle w:val="FootnoteText"/>
      </w:pPr>
      <w:r>
        <w:rPr>
          <w:rStyle w:val="FootnoteReference"/>
        </w:rPr>
        <w:footnoteRef/>
      </w:r>
      <w:r>
        <w:t xml:space="preserve"> </w:t>
      </w:r>
      <w:hyperlink r:id="rId2" w:history="1">
        <w:r w:rsidR="005C1FA9" w:rsidRPr="00DB49E5">
          <w:rPr>
            <w:rStyle w:val="Hyperlink"/>
          </w:rPr>
          <w:t>https://www.ilo.org/wcmsp5/groups/public/---</w:t>
        </w:r>
        <w:r w:rsidR="005C1FA9" w:rsidRPr="00DB49E5">
          <w:rPr>
            <w:rStyle w:val="Hyperlink"/>
          </w:rPr>
          <w:t>ed_emp/---emp_policy/---invest/documents/publication/wcms_asist_8210.pdf</w:t>
        </w:r>
      </w:hyperlink>
      <w:r w:rsidR="005C1FA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3D"/>
    <w:rsid w:val="00053B4A"/>
    <w:rsid w:val="000A2045"/>
    <w:rsid w:val="000A412B"/>
    <w:rsid w:val="000C1050"/>
    <w:rsid w:val="000F0E7D"/>
    <w:rsid w:val="00105864"/>
    <w:rsid w:val="001D3E99"/>
    <w:rsid w:val="002333F9"/>
    <w:rsid w:val="00253E6F"/>
    <w:rsid w:val="002807F3"/>
    <w:rsid w:val="002A023D"/>
    <w:rsid w:val="00314FD5"/>
    <w:rsid w:val="00327006"/>
    <w:rsid w:val="003839C1"/>
    <w:rsid w:val="003840A3"/>
    <w:rsid w:val="00396D73"/>
    <w:rsid w:val="00512665"/>
    <w:rsid w:val="005256FD"/>
    <w:rsid w:val="00526B45"/>
    <w:rsid w:val="00546482"/>
    <w:rsid w:val="005A1A66"/>
    <w:rsid w:val="005A4D46"/>
    <w:rsid w:val="005A6320"/>
    <w:rsid w:val="005C1FA9"/>
    <w:rsid w:val="005E2549"/>
    <w:rsid w:val="00666685"/>
    <w:rsid w:val="00670034"/>
    <w:rsid w:val="006A0113"/>
    <w:rsid w:val="00846373"/>
    <w:rsid w:val="009264F9"/>
    <w:rsid w:val="009709EA"/>
    <w:rsid w:val="00973FC3"/>
    <w:rsid w:val="00A21981"/>
    <w:rsid w:val="00AC726E"/>
    <w:rsid w:val="00AD46D4"/>
    <w:rsid w:val="00B21434"/>
    <w:rsid w:val="00B53E04"/>
    <w:rsid w:val="00B7481A"/>
    <w:rsid w:val="00B76949"/>
    <w:rsid w:val="00BB0672"/>
    <w:rsid w:val="00BC129C"/>
    <w:rsid w:val="00BF6CE8"/>
    <w:rsid w:val="00C43C56"/>
    <w:rsid w:val="00CD0C99"/>
    <w:rsid w:val="00CD2B3F"/>
    <w:rsid w:val="00D350D7"/>
    <w:rsid w:val="00D76FAB"/>
    <w:rsid w:val="00DA02BB"/>
    <w:rsid w:val="00DE123B"/>
    <w:rsid w:val="00E06131"/>
    <w:rsid w:val="00EB6704"/>
    <w:rsid w:val="00F554F4"/>
    <w:rsid w:val="00F95AD0"/>
    <w:rsid w:val="00FC6348"/>
    <w:rsid w:val="00FE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8669"/>
  <w15:chartTrackingRefBased/>
  <w15:docId w15:val="{2CF852B7-A7F5-E54B-B37D-91522D75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3E04"/>
    <w:rPr>
      <w:sz w:val="20"/>
      <w:szCs w:val="20"/>
    </w:rPr>
  </w:style>
  <w:style w:type="character" w:customStyle="1" w:styleId="FootnoteTextChar">
    <w:name w:val="Footnote Text Char"/>
    <w:basedOn w:val="DefaultParagraphFont"/>
    <w:link w:val="FootnoteText"/>
    <w:uiPriority w:val="99"/>
    <w:semiHidden/>
    <w:rsid w:val="00B53E04"/>
    <w:rPr>
      <w:sz w:val="20"/>
      <w:szCs w:val="20"/>
    </w:rPr>
  </w:style>
  <w:style w:type="character" w:styleId="FootnoteReference">
    <w:name w:val="footnote reference"/>
    <w:basedOn w:val="DefaultParagraphFont"/>
    <w:uiPriority w:val="99"/>
    <w:semiHidden/>
    <w:unhideWhenUsed/>
    <w:rsid w:val="00B53E04"/>
    <w:rPr>
      <w:vertAlign w:val="superscript"/>
    </w:rPr>
  </w:style>
  <w:style w:type="character" w:styleId="Hyperlink">
    <w:name w:val="Hyperlink"/>
    <w:basedOn w:val="DefaultParagraphFont"/>
    <w:uiPriority w:val="99"/>
    <w:unhideWhenUsed/>
    <w:rsid w:val="005C1FA9"/>
    <w:rPr>
      <w:color w:val="0563C1" w:themeColor="hyperlink"/>
      <w:u w:val="single"/>
    </w:rPr>
  </w:style>
  <w:style w:type="character" w:styleId="UnresolvedMention">
    <w:name w:val="Unresolved Mention"/>
    <w:basedOn w:val="DefaultParagraphFont"/>
    <w:uiPriority w:val="99"/>
    <w:semiHidden/>
    <w:unhideWhenUsed/>
    <w:rsid w:val="005C1FA9"/>
    <w:rPr>
      <w:color w:val="605E5C"/>
      <w:shd w:val="clear" w:color="auto" w:fill="E1DFDD"/>
    </w:rPr>
  </w:style>
  <w:style w:type="character" w:styleId="FollowedHyperlink">
    <w:name w:val="FollowedHyperlink"/>
    <w:basedOn w:val="DefaultParagraphFont"/>
    <w:uiPriority w:val="99"/>
    <w:semiHidden/>
    <w:unhideWhenUsed/>
    <w:rsid w:val="002807F3"/>
    <w:rPr>
      <w:color w:val="954F72" w:themeColor="followedHyperlink"/>
      <w:u w:val="single"/>
    </w:rPr>
  </w:style>
  <w:style w:type="character" w:styleId="CommentReference">
    <w:name w:val="annotation reference"/>
    <w:basedOn w:val="DefaultParagraphFont"/>
    <w:uiPriority w:val="99"/>
    <w:semiHidden/>
    <w:unhideWhenUsed/>
    <w:rsid w:val="00053B4A"/>
    <w:rPr>
      <w:sz w:val="16"/>
      <w:szCs w:val="16"/>
    </w:rPr>
  </w:style>
  <w:style w:type="paragraph" w:styleId="CommentText">
    <w:name w:val="annotation text"/>
    <w:basedOn w:val="Normal"/>
    <w:link w:val="CommentTextChar"/>
    <w:uiPriority w:val="99"/>
    <w:semiHidden/>
    <w:unhideWhenUsed/>
    <w:rsid w:val="00053B4A"/>
    <w:rPr>
      <w:sz w:val="20"/>
      <w:szCs w:val="20"/>
    </w:rPr>
  </w:style>
  <w:style w:type="character" w:customStyle="1" w:styleId="CommentTextChar">
    <w:name w:val="Comment Text Char"/>
    <w:basedOn w:val="DefaultParagraphFont"/>
    <w:link w:val="CommentText"/>
    <w:uiPriority w:val="99"/>
    <w:semiHidden/>
    <w:rsid w:val="00053B4A"/>
    <w:rPr>
      <w:sz w:val="20"/>
      <w:szCs w:val="20"/>
    </w:rPr>
  </w:style>
  <w:style w:type="paragraph" w:styleId="Footer">
    <w:name w:val="footer"/>
    <w:basedOn w:val="Normal"/>
    <w:link w:val="FooterChar"/>
    <w:uiPriority w:val="99"/>
    <w:unhideWhenUsed/>
    <w:rsid w:val="00FE6340"/>
    <w:pPr>
      <w:tabs>
        <w:tab w:val="center" w:pos="4513"/>
        <w:tab w:val="right" w:pos="9026"/>
      </w:tabs>
    </w:pPr>
  </w:style>
  <w:style w:type="character" w:customStyle="1" w:styleId="FooterChar">
    <w:name w:val="Footer Char"/>
    <w:basedOn w:val="DefaultParagraphFont"/>
    <w:link w:val="Footer"/>
    <w:uiPriority w:val="99"/>
    <w:rsid w:val="00FE6340"/>
  </w:style>
  <w:style w:type="character" w:styleId="PageNumber">
    <w:name w:val="page number"/>
    <w:basedOn w:val="DefaultParagraphFont"/>
    <w:uiPriority w:val="99"/>
    <w:semiHidden/>
    <w:unhideWhenUsed/>
    <w:rsid w:val="00FE6340"/>
  </w:style>
  <w:style w:type="paragraph" w:customStyle="1" w:styleId="Default">
    <w:name w:val="Default"/>
    <w:rsid w:val="00FE634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FE6340"/>
  </w:style>
  <w:style w:type="character" w:customStyle="1" w:styleId="Hyperlink0">
    <w:name w:val="Hyperlink.0"/>
    <w:basedOn w:val="None"/>
    <w:rsid w:val="00FE6340"/>
    <w:rPr>
      <w:color w:val="011EA9"/>
      <w:u w:val="single" w:color="0432FF"/>
    </w:rPr>
  </w:style>
  <w:style w:type="numbering" w:customStyle="1" w:styleId="Bullet">
    <w:name w:val="Bullet"/>
    <w:rsid w:val="00FE6340"/>
    <w:pPr>
      <w:numPr>
        <w:numId w:val="1"/>
      </w:numPr>
    </w:pPr>
  </w:style>
  <w:style w:type="character" w:customStyle="1" w:styleId="Hyperlink1">
    <w:name w:val="Hyperlink.1"/>
    <w:basedOn w:val="DefaultParagraphFont"/>
    <w:rsid w:val="00FE6340"/>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emp/---emp_policy/---invest/documents/publication/wcms_asist_8210.pdf" TargetMode="External"/><Relationship Id="rId1" Type="http://schemas.openxmlformats.org/officeDocument/2006/relationships/hyperlink" Target="https://www.infrastructure-ni.gov.uk/sites/default/files/publications/infrastructure/planning-for-the-future-of-transport-time-for-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cp:lastModifiedBy>
  <cp:revision>2</cp:revision>
  <dcterms:created xsi:type="dcterms:W3CDTF">2022-03-10T09:19:00Z</dcterms:created>
  <dcterms:modified xsi:type="dcterms:W3CDTF">2022-03-10T09:19:00Z</dcterms:modified>
</cp:coreProperties>
</file>