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u w:val="single"/>
        </w:rPr>
      </w:pPr>
      <w:bookmarkStart w:id="0" w:name="_GoBack"/>
      <w:bookmarkEnd w:id="0"/>
    </w:p>
    <w:p w:rsidR="0093311A" w:rsidRDefault="00F47CAE">
      <w:pPr>
        <w:pStyle w:val="FreeForm"/>
        <w:ind w:right="1990"/>
        <w:jc w:val="center"/>
        <w:rPr>
          <w:rFonts w:ascii="Arial" w:hAnsi="Arial"/>
          <w:b/>
          <w:bCs/>
          <w:sz w:val="36"/>
          <w:szCs w:val="36"/>
        </w:rPr>
      </w:pPr>
      <w:r>
        <w:rPr>
          <w:rFonts w:ascii="Arial" w:hAnsi="Arial"/>
          <w:b/>
          <w:bCs/>
          <w:noProof/>
          <w:sz w:val="36"/>
          <w:szCs w:val="36"/>
        </w:rPr>
        <w:drawing>
          <wp:anchor distT="152400" distB="152400" distL="152400" distR="152400" simplePos="0" relativeHeight="251659264" behindDoc="0" locked="0" layoutInCell="1" allowOverlap="1">
            <wp:simplePos x="0" y="0"/>
            <wp:positionH relativeFrom="margin">
              <wp:posOffset>1236404</wp:posOffset>
            </wp:positionH>
            <wp:positionV relativeFrom="line">
              <wp:posOffset>487832</wp:posOffset>
            </wp:positionV>
            <wp:extent cx="3630991" cy="265523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8">
                      <a:extLst/>
                    </a:blip>
                    <a:stretch>
                      <a:fillRect/>
                    </a:stretch>
                  </pic:blipFill>
                  <pic:spPr>
                    <a:xfrm>
                      <a:off x="0" y="0"/>
                      <a:ext cx="3630991" cy="2655236"/>
                    </a:xfrm>
                    <a:prstGeom prst="rect">
                      <a:avLst/>
                    </a:prstGeom>
                    <a:ln w="12700" cap="flat">
                      <a:noFill/>
                      <a:miter lim="400000"/>
                    </a:ln>
                    <a:effectLst/>
                  </pic:spPr>
                </pic:pic>
              </a:graphicData>
            </a:graphic>
          </wp:anchor>
        </w:drawing>
      </w:r>
    </w:p>
    <w:p w:rsidR="0093311A" w:rsidRDefault="0093311A">
      <w:pPr>
        <w:pStyle w:val="FreeForm"/>
        <w:ind w:right="1990"/>
        <w:jc w:val="center"/>
        <w:rPr>
          <w:rFonts w:ascii="Arial" w:hAnsi="Arial"/>
          <w:b/>
          <w:bCs/>
          <w:sz w:val="36"/>
          <w:szCs w:val="36"/>
        </w:rPr>
      </w:pPr>
    </w:p>
    <w:p w:rsidR="0093311A" w:rsidRDefault="0093311A">
      <w:pPr>
        <w:pStyle w:val="FreeForm"/>
        <w:ind w:right="1990"/>
        <w:jc w:val="center"/>
        <w:rPr>
          <w:rFonts w:ascii="Arial" w:hAnsi="Arial"/>
          <w:b/>
          <w:bCs/>
          <w:sz w:val="36"/>
          <w:szCs w:val="36"/>
        </w:rPr>
      </w:pPr>
    </w:p>
    <w:p w:rsidR="0093311A" w:rsidRDefault="0093311A">
      <w:pPr>
        <w:pStyle w:val="FreeForm"/>
        <w:ind w:right="1990"/>
        <w:jc w:val="center"/>
        <w:rPr>
          <w:rFonts w:ascii="Arial" w:hAnsi="Arial"/>
          <w:b/>
          <w:bCs/>
          <w:sz w:val="36"/>
          <w:szCs w:val="36"/>
        </w:rPr>
      </w:pPr>
    </w:p>
    <w:p w:rsidR="0093311A" w:rsidRDefault="0093311A">
      <w:pPr>
        <w:pStyle w:val="FreeForm"/>
        <w:ind w:right="1990"/>
        <w:rPr>
          <w:rFonts w:ascii="Arial" w:hAnsi="Arial"/>
          <w:b/>
          <w:bCs/>
          <w:sz w:val="36"/>
          <w:szCs w:val="36"/>
        </w:rPr>
      </w:pPr>
    </w:p>
    <w:p w:rsidR="0093311A" w:rsidRDefault="0093311A">
      <w:pPr>
        <w:pStyle w:val="FreeForm"/>
        <w:ind w:right="1990"/>
        <w:rPr>
          <w:rFonts w:ascii="Arial" w:hAnsi="Arial"/>
          <w:b/>
          <w:bCs/>
          <w:sz w:val="36"/>
          <w:szCs w:val="36"/>
        </w:rPr>
      </w:pPr>
    </w:p>
    <w:p w:rsidR="0093311A" w:rsidRDefault="0093311A">
      <w:pPr>
        <w:pStyle w:val="FreeForm"/>
        <w:ind w:right="1990"/>
        <w:rPr>
          <w:rFonts w:ascii="Arial" w:hAnsi="Arial"/>
          <w:b/>
          <w:bCs/>
          <w:sz w:val="36"/>
          <w:szCs w:val="36"/>
        </w:rPr>
      </w:pPr>
    </w:p>
    <w:p w:rsidR="0093311A" w:rsidRDefault="0093311A">
      <w:pPr>
        <w:pStyle w:val="FreeForm"/>
        <w:ind w:right="1990"/>
        <w:rPr>
          <w:rFonts w:ascii="Arial" w:hAnsi="Arial"/>
          <w:b/>
          <w:bCs/>
          <w:sz w:val="36"/>
          <w:szCs w:val="36"/>
        </w:rPr>
      </w:pPr>
    </w:p>
    <w:p w:rsidR="0093311A" w:rsidRDefault="0093311A">
      <w:pPr>
        <w:pStyle w:val="FreeForm"/>
        <w:ind w:right="1990"/>
        <w:rPr>
          <w:rFonts w:ascii="Arial" w:hAnsi="Arial"/>
          <w:b/>
          <w:bCs/>
          <w:sz w:val="36"/>
          <w:szCs w:val="36"/>
        </w:rPr>
      </w:pPr>
    </w:p>
    <w:p w:rsidR="0093311A" w:rsidRDefault="0093311A">
      <w:pPr>
        <w:pStyle w:val="FreeForm"/>
        <w:ind w:right="1990"/>
        <w:rPr>
          <w:rFonts w:ascii="Arial" w:hAnsi="Arial"/>
          <w:b/>
          <w:bCs/>
          <w:sz w:val="36"/>
          <w:szCs w:val="36"/>
        </w:rPr>
      </w:pPr>
    </w:p>
    <w:p w:rsidR="0093311A" w:rsidRDefault="0093311A">
      <w:pPr>
        <w:pStyle w:val="FreeForm"/>
        <w:ind w:right="1990"/>
        <w:rPr>
          <w:rFonts w:ascii="Arial" w:hAnsi="Arial"/>
          <w:b/>
          <w:bCs/>
          <w:sz w:val="36"/>
          <w:szCs w:val="36"/>
        </w:rPr>
      </w:pPr>
    </w:p>
    <w:p w:rsidR="0093311A" w:rsidRDefault="0093311A">
      <w:pPr>
        <w:pStyle w:val="FreeForm"/>
        <w:ind w:right="1990"/>
        <w:rPr>
          <w:rFonts w:ascii="Arial" w:hAnsi="Arial"/>
          <w:b/>
          <w:bCs/>
          <w:sz w:val="36"/>
          <w:szCs w:val="36"/>
        </w:rPr>
      </w:pPr>
    </w:p>
    <w:p w:rsidR="0093311A" w:rsidRDefault="0093311A">
      <w:pPr>
        <w:pStyle w:val="FreeForm"/>
        <w:ind w:right="1990"/>
        <w:rPr>
          <w:rFonts w:ascii="Arial" w:hAnsi="Arial"/>
          <w:b/>
          <w:bCs/>
          <w:sz w:val="36"/>
          <w:szCs w:val="36"/>
        </w:rPr>
      </w:pPr>
    </w:p>
    <w:p w:rsidR="0093311A" w:rsidRDefault="0093311A">
      <w:pPr>
        <w:pStyle w:val="FreeForm"/>
        <w:ind w:right="1990"/>
        <w:rPr>
          <w:rFonts w:ascii="Arial" w:hAnsi="Arial"/>
          <w:b/>
          <w:bCs/>
          <w:sz w:val="36"/>
          <w:szCs w:val="36"/>
        </w:rPr>
      </w:pPr>
    </w:p>
    <w:p w:rsidR="0093311A" w:rsidRDefault="0093311A">
      <w:pPr>
        <w:pStyle w:val="FreeForm"/>
        <w:ind w:right="1990"/>
        <w:rPr>
          <w:rFonts w:ascii="Arial" w:hAnsi="Arial"/>
          <w:b/>
          <w:bCs/>
          <w:sz w:val="36"/>
          <w:szCs w:val="36"/>
        </w:rPr>
      </w:pPr>
    </w:p>
    <w:p w:rsidR="0093311A" w:rsidRDefault="00F47CAE">
      <w:pPr>
        <w:pStyle w:val="FreeForm"/>
        <w:ind w:right="1990"/>
        <w:rPr>
          <w:rFonts w:ascii="Times New Roman" w:eastAsia="Times New Roman" w:hAnsi="Times New Roman" w:cs="Times New Roman"/>
          <w:b/>
          <w:bCs/>
          <w:sz w:val="36"/>
          <w:szCs w:val="36"/>
        </w:rPr>
      </w:pPr>
      <w:r>
        <w:rPr>
          <w:rFonts w:ascii="Arial" w:hAnsi="Arial"/>
          <w:b/>
          <w:bCs/>
          <w:sz w:val="36"/>
          <w:szCs w:val="36"/>
          <w:lang w:val="en-US"/>
        </w:rPr>
        <w:t>Recommendations from Imtac on public realm proposals for Newry (Lower Hill Street)</w:t>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Arial" w:hAnsi="Arial"/>
          <w:b/>
          <w:bCs/>
          <w:sz w:val="36"/>
          <w:szCs w:val="36"/>
          <w:lang w:val="en-US"/>
        </w:rPr>
        <w:t>September</w:t>
      </w:r>
      <w:r>
        <w:rPr>
          <w:rFonts w:ascii="Arial" w:hAnsi="Arial"/>
          <w:b/>
          <w:bCs/>
          <w:sz w:val="36"/>
          <w:szCs w:val="36"/>
        </w:rPr>
        <w:t xml:space="preserve"> 2018</w:t>
      </w:r>
    </w:p>
    <w:p w:rsidR="0093311A" w:rsidRDefault="0093311A">
      <w:pPr>
        <w:pStyle w:val="FreeForm"/>
        <w:ind w:right="1990"/>
        <w:jc w:val="center"/>
        <w:rPr>
          <w:rFonts w:ascii="Times New Roman" w:eastAsia="Times New Roman" w:hAnsi="Times New Roman" w:cs="Times New Roman"/>
          <w:b/>
          <w:bCs/>
          <w:sz w:val="36"/>
          <w:szCs w:val="36"/>
        </w:rPr>
      </w:pPr>
    </w:p>
    <w:p w:rsidR="0093311A" w:rsidRDefault="0093311A">
      <w:pPr>
        <w:pStyle w:val="FreeForm"/>
        <w:spacing w:after="120"/>
        <w:ind w:right="1990"/>
        <w:rPr>
          <w:rFonts w:ascii="Times New Roman" w:eastAsia="Times New Roman" w:hAnsi="Times New Roman" w:cs="Times New Roman"/>
          <w:sz w:val="36"/>
          <w:szCs w:val="36"/>
        </w:rPr>
      </w:pPr>
    </w:p>
    <w:p w:rsidR="0093311A" w:rsidRDefault="0093311A">
      <w:pPr>
        <w:pStyle w:val="FreeForm"/>
        <w:spacing w:after="120"/>
        <w:ind w:right="1990"/>
        <w:rPr>
          <w:rFonts w:ascii="Times New Roman" w:eastAsia="Times New Roman" w:hAnsi="Times New Roman" w:cs="Times New Roman"/>
          <w:sz w:val="36"/>
          <w:szCs w:val="36"/>
        </w:rPr>
      </w:pPr>
    </w:p>
    <w:p w:rsidR="0093311A" w:rsidRDefault="00F47CAE">
      <w:pPr>
        <w:pStyle w:val="FreeForm"/>
        <w:spacing w:after="120"/>
        <w:ind w:right="1990"/>
        <w:rPr>
          <w:rFonts w:ascii="Times New Roman" w:eastAsia="Times New Roman" w:hAnsi="Times New Roman" w:cs="Times New Roman"/>
          <w:sz w:val="28"/>
          <w:szCs w:val="28"/>
        </w:rPr>
      </w:pPr>
      <w:r>
        <w:rPr>
          <w:rFonts w:ascii="Arial" w:hAnsi="Arial"/>
          <w:sz w:val="36"/>
          <w:szCs w:val="36"/>
          <w:lang w:val="en-US"/>
        </w:rPr>
        <w:t>Imtac is committed to making information about our work accessible.  Details of how to obtain information in your preferred</w:t>
      </w:r>
      <w:r>
        <w:rPr>
          <w:rFonts w:ascii="Arial" w:hAnsi="Arial"/>
          <w:sz w:val="36"/>
          <w:szCs w:val="36"/>
          <w:lang w:val="en-US"/>
        </w:rPr>
        <w:t xml:space="preserve"> format are included on the next page</w:t>
      </w:r>
      <w:r>
        <w:rPr>
          <w:rFonts w:ascii="Times New Roman" w:hAnsi="Times New Roman"/>
          <w:sz w:val="28"/>
          <w:szCs w:val="28"/>
        </w:rPr>
        <w:t>.</w:t>
      </w:r>
    </w:p>
    <w:p w:rsidR="0093311A" w:rsidRDefault="00F47CAE">
      <w:pPr>
        <w:pStyle w:val="FreeForm"/>
        <w:ind w:right="1990"/>
      </w:pPr>
      <w:r>
        <w:rPr>
          <w:rFonts w:ascii="Arial Unicode MS" w:hAnsi="Arial Unicode MS"/>
          <w:sz w:val="28"/>
          <w:szCs w:val="28"/>
        </w:rPr>
        <w:br w:type="page"/>
      </w:r>
    </w:p>
    <w:p w:rsidR="0093311A" w:rsidRDefault="0093311A">
      <w:pPr>
        <w:pStyle w:val="FreeForm"/>
        <w:ind w:right="1990"/>
        <w:rPr>
          <w:rFonts w:ascii="Times New Roman" w:eastAsia="Times New Roman" w:hAnsi="Times New Roman" w:cs="Times New Roman"/>
          <w:sz w:val="22"/>
          <w:szCs w:val="22"/>
        </w:rPr>
      </w:pPr>
    </w:p>
    <w:p w:rsidR="0093311A" w:rsidRDefault="00F47CAE">
      <w:pPr>
        <w:pStyle w:val="FreeForm"/>
        <w:ind w:right="1990"/>
        <w:rPr>
          <w:rFonts w:ascii="Times New Roman" w:eastAsia="Times New Roman" w:hAnsi="Times New Roman" w:cs="Times New Roman"/>
          <w:b/>
          <w:bCs/>
          <w:sz w:val="28"/>
          <w:szCs w:val="28"/>
        </w:rPr>
      </w:pPr>
      <w:r>
        <w:rPr>
          <w:rFonts w:ascii="Arial" w:hAnsi="Arial"/>
          <w:b/>
          <w:bCs/>
          <w:sz w:val="28"/>
          <w:szCs w:val="28"/>
          <w:lang w:val="en-US"/>
        </w:rPr>
        <w:t>Making our information accessible</w:t>
      </w:r>
    </w:p>
    <w:p w:rsidR="0093311A" w:rsidRDefault="0093311A">
      <w:pPr>
        <w:pStyle w:val="FreeForm"/>
        <w:ind w:right="1990"/>
        <w:rPr>
          <w:rFonts w:ascii="Times New Roman" w:eastAsia="Times New Roman" w:hAnsi="Times New Roman" w:cs="Times New Roman"/>
          <w:b/>
          <w:bCs/>
          <w:sz w:val="28"/>
          <w:szCs w:val="28"/>
        </w:rPr>
      </w:pPr>
    </w:p>
    <w:p w:rsidR="0093311A" w:rsidRDefault="00F47CAE">
      <w:pPr>
        <w:pStyle w:val="FreeForm"/>
        <w:ind w:right="1990"/>
        <w:rPr>
          <w:rFonts w:ascii="Times New Roman" w:eastAsia="Times New Roman" w:hAnsi="Times New Roman" w:cs="Times New Roman"/>
          <w:sz w:val="28"/>
          <w:szCs w:val="28"/>
        </w:rPr>
      </w:pPr>
      <w:r>
        <w:rPr>
          <w:rFonts w:ascii="Arial" w:hAnsi="Arial"/>
          <w:sz w:val="28"/>
          <w:szCs w:val="28"/>
          <w:lang w:val="en-US"/>
        </w:rPr>
        <w:t xml:space="preserve">As an organisation of and for disabled people and older people Imtac recognises that the way information is provided can be a barrier to accessing services and participation in </w:t>
      </w:r>
      <w:r>
        <w:rPr>
          <w:rFonts w:ascii="Arial" w:hAnsi="Arial"/>
          <w:sz w:val="28"/>
          <w:szCs w:val="28"/>
          <w:lang w:val="en-US"/>
        </w:rPr>
        <w:t>public life.  We are committed to providing information about our work in formats that best suit the needs of individuals.</w:t>
      </w:r>
    </w:p>
    <w:p w:rsidR="0093311A" w:rsidRDefault="0093311A">
      <w:pPr>
        <w:pStyle w:val="FreeForm"/>
        <w:ind w:right="1990"/>
        <w:rPr>
          <w:rFonts w:ascii="Times New Roman" w:eastAsia="Times New Roman" w:hAnsi="Times New Roman" w:cs="Times New Roman"/>
          <w:sz w:val="28"/>
          <w:szCs w:val="28"/>
        </w:rPr>
      </w:pPr>
    </w:p>
    <w:p w:rsidR="0093311A" w:rsidRDefault="00F47CAE">
      <w:pPr>
        <w:pStyle w:val="FreeForm"/>
        <w:ind w:right="1990"/>
        <w:rPr>
          <w:rFonts w:ascii="Times New Roman" w:eastAsia="Times New Roman" w:hAnsi="Times New Roman" w:cs="Times New Roman"/>
          <w:sz w:val="28"/>
          <w:szCs w:val="28"/>
        </w:rPr>
      </w:pPr>
      <w:r>
        <w:rPr>
          <w:rFonts w:ascii="Arial" w:hAnsi="Arial"/>
          <w:sz w:val="28"/>
          <w:szCs w:val="28"/>
          <w:lang w:val="en-US"/>
        </w:rPr>
        <w:t xml:space="preserve">All our documents are available in hard copy in 14pt type size as standard.  We also provide word and pdf versions of our documents </w:t>
      </w:r>
      <w:r>
        <w:rPr>
          <w:rFonts w:ascii="Arial" w:hAnsi="Arial"/>
          <w:sz w:val="28"/>
          <w:szCs w:val="28"/>
          <w:lang w:val="en-US"/>
        </w:rPr>
        <w:t xml:space="preserve">on our website </w:t>
      </w:r>
      <w:r>
        <w:rPr>
          <w:rFonts w:ascii="Arial" w:hAnsi="Arial"/>
          <w:sz w:val="28"/>
          <w:szCs w:val="28"/>
        </w:rPr>
        <w:t xml:space="preserve">– </w:t>
      </w:r>
      <w:r>
        <w:rPr>
          <w:rFonts w:ascii="Arial" w:hAnsi="Arial"/>
          <w:color w:val="0251FF"/>
          <w:sz w:val="28"/>
          <w:szCs w:val="28"/>
          <w:u w:val="single"/>
        </w:rPr>
        <w:t>www.imtac.org.uk</w:t>
      </w:r>
      <w:r>
        <w:rPr>
          <w:rFonts w:ascii="Arial" w:hAnsi="Arial"/>
          <w:sz w:val="28"/>
          <w:szCs w:val="28"/>
          <w:lang w:val="en-US"/>
        </w:rPr>
        <w:t>.  In addition we will provide information in a range of other formats.  These formats include:</w:t>
      </w:r>
    </w:p>
    <w:p w:rsidR="0093311A" w:rsidRDefault="0093311A">
      <w:pPr>
        <w:pStyle w:val="FreeForm"/>
        <w:ind w:right="1990"/>
        <w:rPr>
          <w:rFonts w:ascii="Times New Roman" w:eastAsia="Times New Roman" w:hAnsi="Times New Roman" w:cs="Times New Roman"/>
          <w:sz w:val="28"/>
          <w:szCs w:val="28"/>
        </w:rPr>
      </w:pPr>
    </w:p>
    <w:p w:rsidR="0093311A" w:rsidRDefault="00F47CAE">
      <w:pPr>
        <w:pStyle w:val="FreeForm"/>
        <w:numPr>
          <w:ilvl w:val="0"/>
          <w:numId w:val="2"/>
        </w:numPr>
        <w:spacing w:line="276" w:lineRule="auto"/>
        <w:ind w:right="1990"/>
        <w:rPr>
          <w:rFonts w:ascii="Arial" w:hAnsi="Arial"/>
          <w:sz w:val="28"/>
          <w:szCs w:val="28"/>
          <w:lang w:val="en-US"/>
        </w:rPr>
      </w:pPr>
      <w:r>
        <w:rPr>
          <w:rFonts w:ascii="Arial" w:hAnsi="Arial"/>
          <w:sz w:val="28"/>
          <w:szCs w:val="28"/>
          <w:lang w:val="en-US"/>
        </w:rPr>
        <w:t>Large print</w:t>
      </w:r>
    </w:p>
    <w:p w:rsidR="0093311A" w:rsidRDefault="00F47CAE">
      <w:pPr>
        <w:pStyle w:val="FreeForm"/>
        <w:numPr>
          <w:ilvl w:val="0"/>
          <w:numId w:val="2"/>
        </w:numPr>
        <w:spacing w:line="276" w:lineRule="auto"/>
        <w:ind w:right="1990"/>
        <w:rPr>
          <w:rFonts w:ascii="Arial" w:hAnsi="Arial"/>
          <w:sz w:val="28"/>
          <w:szCs w:val="28"/>
          <w:lang w:val="en-US"/>
        </w:rPr>
      </w:pPr>
      <w:r>
        <w:rPr>
          <w:rFonts w:ascii="Arial" w:hAnsi="Arial"/>
          <w:sz w:val="28"/>
          <w:szCs w:val="28"/>
          <w:lang w:val="en-US"/>
        </w:rPr>
        <w:t>Audio cassette or CD</w:t>
      </w:r>
    </w:p>
    <w:p w:rsidR="0093311A" w:rsidRDefault="00F47CAE">
      <w:pPr>
        <w:pStyle w:val="FreeForm"/>
        <w:numPr>
          <w:ilvl w:val="0"/>
          <w:numId w:val="2"/>
        </w:numPr>
        <w:spacing w:line="276" w:lineRule="auto"/>
        <w:ind w:right="1990"/>
        <w:rPr>
          <w:rFonts w:ascii="Arial" w:hAnsi="Arial"/>
          <w:sz w:val="28"/>
          <w:szCs w:val="28"/>
          <w:lang w:val="en-US"/>
        </w:rPr>
      </w:pPr>
      <w:r>
        <w:rPr>
          <w:rFonts w:ascii="Arial" w:hAnsi="Arial"/>
          <w:sz w:val="28"/>
          <w:szCs w:val="28"/>
          <w:lang w:val="en-US"/>
        </w:rPr>
        <w:t>Daisy disc</w:t>
      </w:r>
    </w:p>
    <w:p w:rsidR="0093311A" w:rsidRDefault="00F47CAE">
      <w:pPr>
        <w:pStyle w:val="FreeForm"/>
        <w:numPr>
          <w:ilvl w:val="0"/>
          <w:numId w:val="2"/>
        </w:numPr>
        <w:spacing w:line="276" w:lineRule="auto"/>
        <w:ind w:right="1990"/>
        <w:rPr>
          <w:rFonts w:ascii="Arial" w:hAnsi="Arial"/>
          <w:sz w:val="28"/>
          <w:szCs w:val="28"/>
          <w:lang w:val="fr-FR"/>
        </w:rPr>
      </w:pPr>
      <w:r>
        <w:rPr>
          <w:rFonts w:ascii="Arial" w:hAnsi="Arial"/>
          <w:sz w:val="28"/>
          <w:szCs w:val="28"/>
          <w:lang w:val="fr-FR"/>
        </w:rPr>
        <w:t>Braille</w:t>
      </w:r>
    </w:p>
    <w:p w:rsidR="0093311A" w:rsidRDefault="00F47CAE">
      <w:pPr>
        <w:pStyle w:val="FreeForm"/>
        <w:numPr>
          <w:ilvl w:val="0"/>
          <w:numId w:val="2"/>
        </w:numPr>
        <w:spacing w:line="276" w:lineRule="auto"/>
        <w:ind w:right="1990"/>
        <w:rPr>
          <w:rFonts w:ascii="Arial" w:hAnsi="Arial"/>
          <w:sz w:val="28"/>
          <w:szCs w:val="28"/>
          <w:lang w:val="en-US"/>
        </w:rPr>
      </w:pPr>
      <w:r>
        <w:rPr>
          <w:rFonts w:ascii="Arial" w:hAnsi="Arial"/>
          <w:sz w:val="28"/>
          <w:szCs w:val="28"/>
          <w:lang w:val="en-US"/>
        </w:rPr>
        <w:t>Electronic copies on disc or via email in PDF or word</w:t>
      </w:r>
    </w:p>
    <w:p w:rsidR="0093311A" w:rsidRDefault="00F47CAE">
      <w:pPr>
        <w:pStyle w:val="FreeForm"/>
        <w:numPr>
          <w:ilvl w:val="0"/>
          <w:numId w:val="2"/>
        </w:numPr>
        <w:spacing w:line="276" w:lineRule="auto"/>
        <w:ind w:right="1990"/>
        <w:rPr>
          <w:rFonts w:ascii="Arial" w:hAnsi="Arial"/>
          <w:sz w:val="28"/>
          <w:szCs w:val="28"/>
          <w:lang w:val="en-US"/>
        </w:rPr>
      </w:pPr>
      <w:r>
        <w:rPr>
          <w:rFonts w:ascii="Arial" w:hAnsi="Arial"/>
          <w:sz w:val="28"/>
          <w:szCs w:val="28"/>
          <w:lang w:val="en-US"/>
        </w:rPr>
        <w:t>Easy read</w:t>
      </w:r>
    </w:p>
    <w:p w:rsidR="0093311A" w:rsidRDefault="00F47CAE">
      <w:pPr>
        <w:pStyle w:val="FreeForm"/>
        <w:numPr>
          <w:ilvl w:val="0"/>
          <w:numId w:val="2"/>
        </w:numPr>
        <w:spacing w:line="276" w:lineRule="auto"/>
        <w:ind w:right="1990"/>
        <w:rPr>
          <w:rFonts w:ascii="Arial" w:hAnsi="Arial"/>
          <w:sz w:val="28"/>
          <w:szCs w:val="28"/>
          <w:lang w:val="en-US"/>
        </w:rPr>
      </w:pPr>
      <w:r>
        <w:rPr>
          <w:rFonts w:ascii="Arial" w:hAnsi="Arial"/>
          <w:sz w:val="28"/>
          <w:szCs w:val="28"/>
          <w:lang w:val="en-US"/>
        </w:rPr>
        <w:t>Informatio</w:t>
      </w:r>
      <w:r>
        <w:rPr>
          <w:rFonts w:ascii="Arial" w:hAnsi="Arial"/>
          <w:sz w:val="28"/>
          <w:szCs w:val="28"/>
          <w:lang w:val="en-US"/>
        </w:rPr>
        <w:t>n about our work in other languages</w:t>
      </w:r>
    </w:p>
    <w:p w:rsidR="0093311A" w:rsidRDefault="0093311A">
      <w:pPr>
        <w:pStyle w:val="FreeForm"/>
        <w:ind w:right="1990"/>
        <w:rPr>
          <w:rFonts w:ascii="Times New Roman" w:eastAsia="Times New Roman" w:hAnsi="Times New Roman" w:cs="Times New Roman"/>
          <w:sz w:val="28"/>
          <w:szCs w:val="28"/>
        </w:rPr>
      </w:pPr>
    </w:p>
    <w:p w:rsidR="0093311A" w:rsidRDefault="00F47CAE">
      <w:pPr>
        <w:pStyle w:val="FreeForm"/>
        <w:ind w:right="1990"/>
        <w:rPr>
          <w:rFonts w:ascii="Times New Roman" w:eastAsia="Times New Roman" w:hAnsi="Times New Roman" w:cs="Times New Roman"/>
          <w:sz w:val="28"/>
          <w:szCs w:val="28"/>
        </w:rPr>
      </w:pPr>
      <w:r>
        <w:rPr>
          <w:rFonts w:ascii="Arial" w:hAnsi="Arial"/>
          <w:sz w:val="28"/>
          <w:szCs w:val="28"/>
          <w:lang w:val="en-US"/>
        </w:rPr>
        <w:t>If you would like this publication in any of the formats listed above or if you have any other information requirements please contact:</w:t>
      </w:r>
    </w:p>
    <w:p w:rsidR="0093311A" w:rsidRDefault="0093311A">
      <w:pPr>
        <w:pStyle w:val="FreeForm"/>
        <w:ind w:right="1990"/>
        <w:rPr>
          <w:rFonts w:ascii="Times New Roman" w:eastAsia="Times New Roman" w:hAnsi="Times New Roman" w:cs="Times New Roman"/>
          <w:sz w:val="28"/>
          <w:szCs w:val="28"/>
        </w:rPr>
      </w:pPr>
    </w:p>
    <w:p w:rsidR="0093311A" w:rsidRDefault="00F47CAE">
      <w:pPr>
        <w:pStyle w:val="FreeForm"/>
        <w:ind w:right="1990"/>
        <w:rPr>
          <w:rFonts w:ascii="Times New Roman" w:eastAsia="Times New Roman" w:hAnsi="Times New Roman" w:cs="Times New Roman"/>
          <w:sz w:val="28"/>
          <w:szCs w:val="28"/>
        </w:rPr>
      </w:pPr>
      <w:r>
        <w:rPr>
          <w:rFonts w:ascii="Arial" w:hAnsi="Arial"/>
          <w:sz w:val="28"/>
          <w:szCs w:val="28"/>
          <w:lang w:val="es-ES_tradnl"/>
        </w:rPr>
        <w:t>Michael Lorimer</w:t>
      </w:r>
    </w:p>
    <w:p w:rsidR="0093311A" w:rsidRDefault="00F47CAE">
      <w:pPr>
        <w:pStyle w:val="FreeForm"/>
        <w:ind w:right="1990"/>
        <w:rPr>
          <w:rFonts w:ascii="Times New Roman" w:eastAsia="Times New Roman" w:hAnsi="Times New Roman" w:cs="Times New Roman"/>
          <w:sz w:val="28"/>
          <w:szCs w:val="28"/>
        </w:rPr>
      </w:pPr>
      <w:r>
        <w:rPr>
          <w:rFonts w:ascii="Arial" w:hAnsi="Arial"/>
          <w:sz w:val="28"/>
          <w:szCs w:val="28"/>
          <w:lang w:val="de-DE"/>
        </w:rPr>
        <w:t>Imtac</w:t>
      </w:r>
    </w:p>
    <w:p w:rsidR="0093311A" w:rsidRDefault="00F47CAE">
      <w:pPr>
        <w:pStyle w:val="FreeForm"/>
        <w:ind w:right="1990"/>
        <w:rPr>
          <w:rFonts w:ascii="Times New Roman" w:eastAsia="Times New Roman" w:hAnsi="Times New Roman" w:cs="Times New Roman"/>
          <w:sz w:val="28"/>
          <w:szCs w:val="28"/>
        </w:rPr>
      </w:pPr>
      <w:r>
        <w:rPr>
          <w:rFonts w:ascii="Arial" w:hAnsi="Arial"/>
          <w:sz w:val="28"/>
          <w:szCs w:val="28"/>
          <w:lang w:val="en-US"/>
        </w:rPr>
        <w:t>Titanic Suites</w:t>
      </w:r>
    </w:p>
    <w:p w:rsidR="0093311A" w:rsidRDefault="00F47CAE">
      <w:pPr>
        <w:pStyle w:val="FreeForm"/>
        <w:ind w:right="1990"/>
        <w:rPr>
          <w:rFonts w:ascii="Times New Roman" w:eastAsia="Times New Roman" w:hAnsi="Times New Roman" w:cs="Times New Roman"/>
          <w:sz w:val="28"/>
          <w:szCs w:val="28"/>
        </w:rPr>
      </w:pPr>
      <w:r>
        <w:rPr>
          <w:rFonts w:ascii="Arial" w:hAnsi="Arial"/>
          <w:sz w:val="28"/>
          <w:szCs w:val="28"/>
          <w:lang w:val="en-US"/>
        </w:rPr>
        <w:t>10-18 Adelaide Street</w:t>
      </w:r>
    </w:p>
    <w:p w:rsidR="0093311A" w:rsidRDefault="00F47CAE">
      <w:pPr>
        <w:pStyle w:val="FreeForm"/>
        <w:ind w:right="1990"/>
        <w:rPr>
          <w:rFonts w:ascii="Times New Roman" w:eastAsia="Times New Roman" w:hAnsi="Times New Roman" w:cs="Times New Roman"/>
          <w:sz w:val="28"/>
          <w:szCs w:val="28"/>
        </w:rPr>
      </w:pPr>
      <w:r>
        <w:rPr>
          <w:rFonts w:ascii="Arial" w:hAnsi="Arial"/>
          <w:sz w:val="28"/>
          <w:szCs w:val="28"/>
          <w:lang w:val="de-DE"/>
        </w:rPr>
        <w:t>Belfast  BT2 8FE</w:t>
      </w:r>
    </w:p>
    <w:p w:rsidR="0093311A" w:rsidRDefault="0093311A">
      <w:pPr>
        <w:pStyle w:val="FreeForm"/>
        <w:ind w:right="1990"/>
        <w:rPr>
          <w:rFonts w:ascii="Times New Roman" w:eastAsia="Times New Roman" w:hAnsi="Times New Roman" w:cs="Times New Roman"/>
          <w:sz w:val="28"/>
          <w:szCs w:val="28"/>
        </w:rPr>
      </w:pPr>
    </w:p>
    <w:p w:rsidR="0093311A" w:rsidRDefault="00F47CAE">
      <w:pPr>
        <w:pStyle w:val="FreeForm"/>
        <w:ind w:right="1990"/>
        <w:rPr>
          <w:rFonts w:ascii="Times New Roman" w:eastAsia="Times New Roman" w:hAnsi="Times New Roman" w:cs="Times New Roman"/>
          <w:sz w:val="28"/>
          <w:szCs w:val="28"/>
        </w:rPr>
      </w:pPr>
      <w:r>
        <w:rPr>
          <w:rFonts w:ascii="Arial" w:hAnsi="Arial"/>
          <w:sz w:val="28"/>
          <w:szCs w:val="28"/>
          <w:lang w:val="de-DE"/>
        </w:rPr>
        <w:t>Telep</w:t>
      </w:r>
      <w:r>
        <w:rPr>
          <w:rFonts w:ascii="Arial" w:hAnsi="Arial"/>
          <w:sz w:val="28"/>
          <w:szCs w:val="28"/>
          <w:lang w:val="de-DE"/>
        </w:rPr>
        <w:t>hone/Textphone: 028 9072 6020</w:t>
      </w:r>
    </w:p>
    <w:p w:rsidR="0093311A" w:rsidRDefault="00F47CAE">
      <w:pPr>
        <w:pStyle w:val="FreeForm"/>
        <w:ind w:right="1990"/>
        <w:rPr>
          <w:rFonts w:ascii="Times New Roman" w:eastAsia="Times New Roman" w:hAnsi="Times New Roman" w:cs="Times New Roman"/>
          <w:sz w:val="28"/>
          <w:szCs w:val="28"/>
        </w:rPr>
      </w:pPr>
      <w:r>
        <w:rPr>
          <w:rFonts w:ascii="Arial" w:hAnsi="Arial"/>
          <w:sz w:val="28"/>
          <w:szCs w:val="28"/>
        </w:rPr>
        <w:t>Email:</w:t>
      </w:r>
      <w:r>
        <w:rPr>
          <w:rFonts w:ascii="Arial" w:hAnsi="Arial"/>
          <w:sz w:val="28"/>
          <w:szCs w:val="28"/>
        </w:rPr>
        <w:tab/>
      </w:r>
      <w:hyperlink r:id="rId9" w:history="1">
        <w:r>
          <w:rPr>
            <w:rStyle w:val="Hyperlink0"/>
            <w:rFonts w:ascii="Arial" w:hAnsi="Arial"/>
            <w:sz w:val="28"/>
            <w:szCs w:val="28"/>
          </w:rPr>
          <w:t>info@imtac.org.uk</w:t>
        </w:r>
      </w:hyperlink>
    </w:p>
    <w:p w:rsidR="0093311A" w:rsidRDefault="00F47CAE">
      <w:pPr>
        <w:pStyle w:val="FreeForm"/>
        <w:ind w:right="1990"/>
      </w:pPr>
      <w:r>
        <w:rPr>
          <w:rFonts w:ascii="Arial Unicode MS" w:hAnsi="Arial Unicode MS"/>
          <w:sz w:val="28"/>
          <w:szCs w:val="28"/>
        </w:rPr>
        <w:br w:type="page"/>
      </w:r>
    </w:p>
    <w:p w:rsidR="0093311A" w:rsidRDefault="0093311A">
      <w:pPr>
        <w:pStyle w:val="FreeForm"/>
        <w:ind w:right="1990"/>
        <w:rPr>
          <w:rFonts w:ascii="Times New Roman" w:eastAsia="Times New Roman" w:hAnsi="Times New Roman" w:cs="Times New Roman"/>
          <w:sz w:val="22"/>
          <w:szCs w:val="22"/>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r>
        <w:rPr>
          <w:rFonts w:ascii="Arial" w:hAnsi="Arial"/>
          <w:sz w:val="28"/>
          <w:szCs w:val="28"/>
          <w:u w:val="single"/>
          <w:lang w:val="en-US"/>
        </w:rPr>
        <w:t>About this report</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This report has been developed by Imtac in response to a meeting hosted by Newry, Mourne and Down District Council in Newry on the 5th </w:t>
      </w:r>
      <w:r>
        <w:rPr>
          <w:rFonts w:ascii="Arial" w:hAnsi="Arial"/>
          <w:sz w:val="28"/>
          <w:szCs w:val="28"/>
          <w:lang w:val="en-US"/>
        </w:rPr>
        <w:t>September 2018 to discuss proposals for public realm improvements for a number of streets in the city. The paper looks at current issues and challenges on the streets concerned as well as setting out the  key recommendations of the Committee designed to en</w:t>
      </w:r>
      <w:r>
        <w:rPr>
          <w:rFonts w:ascii="Arial" w:hAnsi="Arial"/>
          <w:sz w:val="28"/>
          <w:szCs w:val="28"/>
          <w:lang w:val="en-US"/>
        </w:rPr>
        <w:t>sure improvements benefit older people and disabled people in particular.</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r>
        <w:rPr>
          <w:rFonts w:ascii="Arial" w:hAnsi="Arial"/>
          <w:sz w:val="28"/>
          <w:szCs w:val="28"/>
          <w:u w:val="single"/>
          <w:lang w:val="en-US"/>
        </w:rPr>
        <w:t>Key issues and challenges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main streets included in the proposed public realm scheme include, John Mitchell Place, St Colman</w:t>
      </w:r>
      <w:r>
        <w:rPr>
          <w:rFonts w:ascii="Arial" w:hAnsi="Arial"/>
          <w:sz w:val="28"/>
          <w:szCs w:val="28"/>
          <w:lang w:val="en-US"/>
        </w:rPr>
        <w:t>’</w:t>
      </w:r>
      <w:r>
        <w:rPr>
          <w:rFonts w:ascii="Arial" w:hAnsi="Arial"/>
          <w:sz w:val="28"/>
          <w:szCs w:val="28"/>
          <w:lang w:val="en-US"/>
        </w:rPr>
        <w:t>s Park,</w:t>
      </w:r>
      <w:r>
        <w:rPr>
          <w:rFonts w:ascii="Arial" w:hAnsi="Arial"/>
          <w:sz w:val="28"/>
          <w:szCs w:val="28"/>
        </w:rPr>
        <w:t xml:space="preserve"> </w:t>
      </w:r>
      <w:r>
        <w:rPr>
          <w:rFonts w:ascii="Arial" w:hAnsi="Arial"/>
          <w:sz w:val="28"/>
          <w:szCs w:val="28"/>
          <w:lang w:val="en-US"/>
        </w:rPr>
        <w:t>sections of Hill Street,</w:t>
      </w:r>
      <w:r>
        <w:rPr>
          <w:rFonts w:ascii="Arial" w:hAnsi="Arial"/>
          <w:sz w:val="28"/>
          <w:szCs w:val="28"/>
        </w:rPr>
        <w:t xml:space="preserve"> </w:t>
      </w:r>
      <w:r>
        <w:rPr>
          <w:rFonts w:ascii="Arial" w:hAnsi="Arial"/>
          <w:sz w:val="28"/>
          <w:szCs w:val="28"/>
          <w:lang w:val="en-US"/>
        </w:rPr>
        <w:t>Mill Street and O</w:t>
      </w:r>
      <w:r>
        <w:rPr>
          <w:rFonts w:ascii="Arial" w:hAnsi="Arial"/>
          <w:sz w:val="28"/>
          <w:szCs w:val="28"/>
          <w:lang w:val="en-US"/>
        </w:rPr>
        <w:t>’</w:t>
      </w:r>
      <w:r>
        <w:rPr>
          <w:rFonts w:ascii="Arial" w:hAnsi="Arial"/>
          <w:sz w:val="28"/>
          <w:szCs w:val="28"/>
          <w:lang w:val="en-US"/>
        </w:rPr>
        <w:t>Hagan Street. The scheme links to recently completed public realm works undertaken on Hill Street and Buttercrane and Merchant Quays.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John Mitchell Place</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controlled crossing on the slip road on the western side of John Mitchell Place at its ju</w:t>
      </w:r>
      <w:r>
        <w:rPr>
          <w:rFonts w:ascii="Arial" w:hAnsi="Arial"/>
          <w:sz w:val="28"/>
          <w:szCs w:val="28"/>
          <w:lang w:val="en-US"/>
        </w:rPr>
        <w:t>nction with William Street</w:t>
      </w:r>
      <w:r>
        <w:rPr>
          <w:rFonts w:ascii="Arial" w:hAnsi="Arial"/>
          <w:sz w:val="28"/>
          <w:szCs w:val="28"/>
        </w:rPr>
        <w:t>.</w:t>
      </w:r>
      <w:r>
        <w:rPr>
          <w:rFonts w:ascii="Arial" w:hAnsi="Arial"/>
          <w:sz w:val="28"/>
          <w:szCs w:val="28"/>
          <w:lang w:val="en-US"/>
        </w:rPr>
        <w:t xml:space="preserve"> The tactile paving and control box on the William Street side of the crossing has been incorrectly installed.</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further controlled crossing across John Mitchell Place at the junction with William Street. A profusion o</w:t>
      </w:r>
      <w:r>
        <w:rPr>
          <w:rFonts w:ascii="Arial" w:hAnsi="Arial"/>
          <w:sz w:val="28"/>
          <w:szCs w:val="28"/>
          <w:lang w:val="en-US"/>
        </w:rPr>
        <w:t>f traffic columns on the northern side create potential hazards on a narrow traffic island.</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u w:val="single"/>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An uncontrolled crossing is provided to cross the side street close to the junction with William Street on the eastern side of John Mitchell Place. Appropriate tac</w:t>
      </w:r>
      <w:r>
        <w:rPr>
          <w:rFonts w:ascii="Arial" w:hAnsi="Arial"/>
          <w:sz w:val="28"/>
          <w:szCs w:val="28"/>
          <w:lang w:val="en-US"/>
        </w:rPr>
        <w:t>tile paving has been provided.</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 further uncontrolled crossing with appropriate tactile paving across John Mitchell Place beside the First Presbyterian church. The footway is broad at this section on the eastern side , however street furniture in</w:t>
      </w:r>
      <w:r>
        <w:rPr>
          <w:rFonts w:ascii="Arial" w:hAnsi="Arial"/>
          <w:sz w:val="28"/>
          <w:szCs w:val="28"/>
          <w:lang w:val="en-US"/>
        </w:rPr>
        <w:t>cluding bins could be positioned better.</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eastern side of John Mitchell Place narrows considerably after the church. Large planters with trees significantly reduce the provision of obstacle free footway.</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along this eastern s</w:t>
      </w:r>
      <w:r>
        <w:rPr>
          <w:rFonts w:ascii="Arial" w:hAnsi="Arial"/>
          <w:sz w:val="28"/>
          <w:szCs w:val="28"/>
          <w:lang w:val="en-US"/>
        </w:rPr>
        <w:t>ection is in poor condition with old dish drainage channels. A-Boards create additional obstacles.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no tactile paving at the junction between John Mitchell Place and St Colman</w:t>
      </w:r>
      <w:r>
        <w:rPr>
          <w:rFonts w:ascii="Arial" w:hAnsi="Arial"/>
          <w:sz w:val="28"/>
          <w:szCs w:val="28"/>
          <w:lang w:val="en-US"/>
        </w:rPr>
        <w:t>’</w:t>
      </w:r>
      <w:r>
        <w:rPr>
          <w:rFonts w:ascii="Arial" w:hAnsi="Arial"/>
          <w:sz w:val="28"/>
          <w:szCs w:val="28"/>
          <w:lang w:val="en-US"/>
        </w:rPr>
        <w:t>s Park. Cars parked on St Colman</w:t>
      </w:r>
      <w:r>
        <w:rPr>
          <w:rFonts w:ascii="Arial" w:hAnsi="Arial"/>
          <w:sz w:val="28"/>
          <w:szCs w:val="28"/>
          <w:lang w:val="en-US"/>
        </w:rPr>
        <w:t>’</w:t>
      </w:r>
      <w:r>
        <w:rPr>
          <w:rFonts w:ascii="Arial" w:hAnsi="Arial"/>
          <w:sz w:val="28"/>
          <w:szCs w:val="28"/>
          <w:lang w:val="en-US"/>
        </w:rPr>
        <w:t>s Park overhang the footway creating a</w:t>
      </w:r>
      <w:r>
        <w:rPr>
          <w:rFonts w:ascii="Arial" w:hAnsi="Arial"/>
          <w:sz w:val="28"/>
          <w:szCs w:val="28"/>
          <w:lang w:val="en-US"/>
        </w:rPr>
        <w:t xml:space="preserve"> potential hazard. </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u w:val="single"/>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pavement along the remaining section of John Mitchell place is mainly clutter free except for lighting columns.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On the western side of John Mitchell Place large planters again reduces pavement width outside St Mary</w:t>
      </w:r>
      <w:r>
        <w:rPr>
          <w:rFonts w:ascii="Arial" w:hAnsi="Arial"/>
          <w:sz w:val="28"/>
          <w:szCs w:val="28"/>
          <w:lang w:val="en-US"/>
        </w:rPr>
        <w:t>’</w:t>
      </w:r>
      <w:r>
        <w:rPr>
          <w:rFonts w:ascii="Arial" w:hAnsi="Arial"/>
          <w:sz w:val="28"/>
          <w:szCs w:val="28"/>
          <w:lang w:val="en-US"/>
        </w:rPr>
        <w:t>s Church.</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w:t>
      </w:r>
      <w:r>
        <w:rPr>
          <w:rFonts w:ascii="Arial" w:hAnsi="Arial"/>
          <w:sz w:val="28"/>
          <w:szCs w:val="28"/>
          <w:lang w:val="en-US"/>
        </w:rPr>
        <w:t>footway on the western side of John Mitchell Place continues towards the junction with William Street and is relatively obstacle free other than lighting columns.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St Colman</w:t>
      </w:r>
      <w:r>
        <w:rPr>
          <w:rFonts w:ascii="Arial" w:hAnsi="Arial"/>
          <w:i/>
          <w:iCs/>
          <w:sz w:val="28"/>
          <w:szCs w:val="28"/>
          <w:lang w:val="en-US"/>
        </w:rPr>
        <w:t>’</w:t>
      </w:r>
      <w:r>
        <w:rPr>
          <w:rFonts w:ascii="Arial" w:hAnsi="Arial"/>
          <w:i/>
          <w:iCs/>
          <w:sz w:val="28"/>
          <w:szCs w:val="28"/>
          <w:lang w:val="en-US"/>
        </w:rPr>
        <w:t>s Park</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southern side of St Colman</w:t>
      </w:r>
      <w:r>
        <w:rPr>
          <w:rFonts w:ascii="Arial" w:hAnsi="Arial"/>
          <w:sz w:val="28"/>
          <w:szCs w:val="28"/>
          <w:lang w:val="en-US"/>
        </w:rPr>
        <w:t>’</w:t>
      </w:r>
      <w:r>
        <w:rPr>
          <w:rFonts w:ascii="Arial" w:hAnsi="Arial"/>
          <w:sz w:val="28"/>
          <w:szCs w:val="28"/>
          <w:lang w:val="en-US"/>
        </w:rPr>
        <w:t>s Park is a mixture of retail and residenti</w:t>
      </w:r>
      <w:r>
        <w:rPr>
          <w:rFonts w:ascii="Arial" w:hAnsi="Arial"/>
          <w:sz w:val="28"/>
          <w:szCs w:val="28"/>
          <w:lang w:val="en-US"/>
        </w:rPr>
        <w:t>al properties. Footway provision is in poor condition, incomplete and on one side only. Free parking is provided adjacent to the park.</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no safe and accessible crossing provided across St Colman</w:t>
      </w:r>
      <w:r>
        <w:rPr>
          <w:rFonts w:ascii="Arial" w:hAnsi="Arial"/>
          <w:sz w:val="28"/>
          <w:szCs w:val="28"/>
          <w:lang w:val="en-US"/>
        </w:rPr>
        <w:t>’</w:t>
      </w:r>
      <w:r>
        <w:rPr>
          <w:rFonts w:ascii="Arial" w:hAnsi="Arial"/>
          <w:sz w:val="28"/>
          <w:szCs w:val="28"/>
          <w:lang w:val="en-US"/>
        </w:rPr>
        <w:t>s Park at its junction with Abbey way.</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footway </w:t>
      </w:r>
      <w:r>
        <w:rPr>
          <w:rFonts w:ascii="Arial" w:hAnsi="Arial"/>
          <w:sz w:val="28"/>
          <w:szCs w:val="28"/>
          <w:lang w:val="en-US"/>
        </w:rPr>
        <w:t>on the northern side of St Colman</w:t>
      </w:r>
      <w:r>
        <w:rPr>
          <w:rFonts w:ascii="Arial" w:hAnsi="Arial"/>
          <w:sz w:val="28"/>
          <w:szCs w:val="28"/>
          <w:lang w:val="en-US"/>
        </w:rPr>
        <w:t>’</w:t>
      </w:r>
      <w:r>
        <w:rPr>
          <w:rFonts w:ascii="Arial" w:hAnsi="Arial"/>
          <w:sz w:val="28"/>
          <w:szCs w:val="28"/>
          <w:lang w:val="en-US"/>
        </w:rPr>
        <w:t>s park is narrow in parts. The use of large planters again reduces the narrow widths unnecessarily.</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area is dominated by parked cars with very poor access to the public park itself.</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Hill Street</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On the eastern side o</w:t>
      </w:r>
      <w:r>
        <w:rPr>
          <w:rFonts w:ascii="Arial" w:hAnsi="Arial"/>
          <w:sz w:val="28"/>
          <w:szCs w:val="28"/>
          <w:lang w:val="en-US"/>
        </w:rPr>
        <w:t>f Hill Street already narrow footways are made worse with shop displays and A-boards.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footways here are in poor condition and include older concrete dish drainage channels.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No tactile paving has been provided at the junction with Mill Street on the e</w:t>
      </w:r>
      <w:r>
        <w:rPr>
          <w:rFonts w:ascii="Arial" w:hAnsi="Arial"/>
          <w:sz w:val="28"/>
          <w:szCs w:val="28"/>
          <w:lang w:val="en-US"/>
        </w:rPr>
        <w:t>astern side of Hill Street. The location of street furniture creates potential hazards and could be improved.</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remainder of the eastern side of Hill Street is narrow but relatively uncluttered although the location of lighting columns ar</w:t>
      </w:r>
      <w:r>
        <w:rPr>
          <w:rFonts w:ascii="Arial" w:hAnsi="Arial"/>
          <w:sz w:val="28"/>
          <w:szCs w:val="28"/>
          <w:lang w:val="en-US"/>
        </w:rPr>
        <w:t>e not ideal.</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western side of Hill Street is relatively narrow and in a poor condition. Concrete dish drainage channels have again been used.</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Clutter from shop displays and A-Boards are also a problem on the western side of the </w:t>
      </w:r>
      <w:r>
        <w:rPr>
          <w:rFonts w:ascii="Arial" w:hAnsi="Arial"/>
          <w:sz w:val="28"/>
          <w:szCs w:val="28"/>
          <w:lang w:val="en-US"/>
        </w:rPr>
        <w:t>street.</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are two entrances to the markets on the western side of Hill Street. Neither entrance include tactile paving to highlight the potential of moving vehicles to pedestrians with a visual impairment.</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O</w:t>
      </w:r>
      <w:r>
        <w:rPr>
          <w:rFonts w:ascii="Arial" w:hAnsi="Arial"/>
          <w:i/>
          <w:iCs/>
          <w:sz w:val="28"/>
          <w:szCs w:val="28"/>
          <w:lang w:val="en-US"/>
        </w:rPr>
        <w:t>’</w:t>
      </w:r>
      <w:r>
        <w:rPr>
          <w:rFonts w:ascii="Arial" w:hAnsi="Arial"/>
          <w:i/>
          <w:iCs/>
          <w:sz w:val="28"/>
          <w:szCs w:val="28"/>
          <w:lang w:val="en-US"/>
        </w:rPr>
        <w:t>Hagan Street</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an uncontrolled cro</w:t>
      </w:r>
      <w:r>
        <w:rPr>
          <w:rFonts w:ascii="Arial" w:hAnsi="Arial"/>
          <w:sz w:val="28"/>
          <w:szCs w:val="28"/>
          <w:lang w:val="en-US"/>
        </w:rPr>
        <w:t>ssing with appropriate tactile paving across O</w:t>
      </w:r>
      <w:r>
        <w:rPr>
          <w:rFonts w:ascii="Arial" w:hAnsi="Arial"/>
          <w:sz w:val="28"/>
          <w:szCs w:val="28"/>
          <w:lang w:val="en-US"/>
        </w:rPr>
        <w:t>’</w:t>
      </w:r>
      <w:r>
        <w:rPr>
          <w:rFonts w:ascii="Arial" w:hAnsi="Arial"/>
          <w:sz w:val="28"/>
          <w:szCs w:val="28"/>
          <w:lang w:val="en-US"/>
        </w:rPr>
        <w:t>Hagan Street at its junction with Hill Street. There is a significant slope on the southern side of the crossing likely to create difficulties for wheelchair users and other disabled people.</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w:t>
      </w:r>
      <w:r>
        <w:rPr>
          <w:rFonts w:ascii="Arial" w:hAnsi="Arial"/>
          <w:sz w:val="28"/>
          <w:szCs w:val="28"/>
          <w:lang w:val="en-US"/>
        </w:rPr>
        <w:t>e northern side of O</w:t>
      </w:r>
      <w:r>
        <w:rPr>
          <w:rFonts w:ascii="Arial" w:hAnsi="Arial"/>
          <w:sz w:val="28"/>
          <w:szCs w:val="28"/>
          <w:lang w:val="en-US"/>
        </w:rPr>
        <w:t>’</w:t>
      </w:r>
      <w:r>
        <w:rPr>
          <w:rFonts w:ascii="Arial" w:hAnsi="Arial"/>
          <w:sz w:val="28"/>
          <w:szCs w:val="28"/>
          <w:lang w:val="en-US"/>
        </w:rPr>
        <w:t>Hagan Street is exceptionally narrow, inaccessible to most pedestrians.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southern side of O</w:t>
      </w:r>
      <w:r>
        <w:rPr>
          <w:rFonts w:ascii="Arial" w:hAnsi="Arial"/>
          <w:sz w:val="28"/>
          <w:szCs w:val="28"/>
          <w:lang w:val="en-US"/>
        </w:rPr>
        <w:t>’</w:t>
      </w:r>
      <w:r>
        <w:rPr>
          <w:rFonts w:ascii="Arial" w:hAnsi="Arial"/>
          <w:sz w:val="28"/>
          <w:szCs w:val="28"/>
          <w:lang w:val="en-US"/>
        </w:rPr>
        <w:t>Hagan Street is broader, clutter free but in poor condition.</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no safe, accessible crossing across O</w:t>
      </w:r>
      <w:r>
        <w:rPr>
          <w:rFonts w:ascii="Arial" w:hAnsi="Arial"/>
          <w:sz w:val="28"/>
          <w:szCs w:val="28"/>
          <w:lang w:val="en-US"/>
        </w:rPr>
        <w:t>’</w:t>
      </w:r>
      <w:r>
        <w:rPr>
          <w:rFonts w:ascii="Arial" w:hAnsi="Arial"/>
          <w:sz w:val="28"/>
          <w:szCs w:val="28"/>
          <w:lang w:val="en-US"/>
        </w:rPr>
        <w:t>Hagan Street at</w:t>
      </w:r>
      <w:r>
        <w:rPr>
          <w:rFonts w:ascii="Arial" w:hAnsi="Arial"/>
          <w:sz w:val="28"/>
          <w:szCs w:val="28"/>
          <w:lang w:val="en-US"/>
        </w:rPr>
        <w:t xml:space="preserve"> its junction with The Mall.</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Mill Street</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is no tactile paving provided across Mill Street at its junction with Hill Street.</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footway on the northern side of Mill Street is narrow and narrows considerably more as it approaches the junction with </w:t>
      </w:r>
      <w:r>
        <w:rPr>
          <w:rFonts w:ascii="Arial" w:hAnsi="Arial"/>
          <w:sz w:val="28"/>
          <w:szCs w:val="28"/>
          <w:lang w:val="en-US"/>
        </w:rPr>
        <w:t>The Mall and St Mary</w:t>
      </w:r>
      <w:r>
        <w:rPr>
          <w:rFonts w:ascii="Arial" w:hAnsi="Arial"/>
          <w:sz w:val="28"/>
          <w:szCs w:val="28"/>
          <w:lang w:val="en-US"/>
        </w:rPr>
        <w:t>’</w:t>
      </w:r>
      <w:r>
        <w:rPr>
          <w:rFonts w:ascii="Arial" w:hAnsi="Arial"/>
          <w:sz w:val="28"/>
          <w:szCs w:val="28"/>
          <w:lang w:val="en-US"/>
        </w:rPr>
        <w:t>s Street.</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southern side on Mill Street is also narrow. No safe and accessible crossing has been provided at the junction with Georges Lane.</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No tactile paving has been provided across The Mall at its junction with M</w:t>
      </w:r>
      <w:r>
        <w:rPr>
          <w:rFonts w:ascii="Arial" w:hAnsi="Arial"/>
          <w:sz w:val="28"/>
          <w:szCs w:val="28"/>
          <w:lang w:val="en-US"/>
        </w:rPr>
        <w:t>ill Street with cobbles on the carriageway creating an unsuitable surface for many disabled people.</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No tactile paving has been provide across St Mary</w:t>
      </w:r>
      <w:r>
        <w:rPr>
          <w:rFonts w:ascii="Arial" w:hAnsi="Arial"/>
          <w:sz w:val="28"/>
          <w:szCs w:val="28"/>
          <w:lang w:val="en-US"/>
        </w:rPr>
        <w:t>’</w:t>
      </w:r>
      <w:r>
        <w:rPr>
          <w:rFonts w:ascii="Arial" w:hAnsi="Arial"/>
          <w:sz w:val="28"/>
          <w:szCs w:val="28"/>
          <w:lang w:val="en-US"/>
        </w:rPr>
        <w:t>s Street at its junction with Mill Street.</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There is no safe or accessible crossing across Mill Street </w:t>
      </w:r>
      <w:r>
        <w:rPr>
          <w:rFonts w:ascii="Arial" w:hAnsi="Arial"/>
          <w:sz w:val="28"/>
          <w:szCs w:val="28"/>
          <w:lang w:val="en-US"/>
        </w:rPr>
        <w:t>at its junction with the Mall and St Mary</w:t>
      </w:r>
      <w:r>
        <w:rPr>
          <w:rFonts w:ascii="Arial" w:hAnsi="Arial"/>
          <w:sz w:val="28"/>
          <w:szCs w:val="28"/>
          <w:lang w:val="en-US"/>
        </w:rPr>
        <w:t>’</w:t>
      </w:r>
      <w:r>
        <w:rPr>
          <w:rFonts w:ascii="Arial" w:hAnsi="Arial"/>
          <w:sz w:val="28"/>
          <w:szCs w:val="28"/>
          <w:lang w:val="en-US"/>
        </w:rPr>
        <w:t>s Street.</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pavement on the southern side of Mill Street towards Buttercrane Quay is narrow but clutter free.</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At the signalised junction with the car park on the southern footway, dropped kerbs have been provid</w:t>
      </w:r>
      <w:r>
        <w:rPr>
          <w:rFonts w:ascii="Arial" w:hAnsi="Arial"/>
          <w:sz w:val="28"/>
          <w:szCs w:val="28"/>
          <w:lang w:val="en-US"/>
        </w:rPr>
        <w:t>ed with no tactile paving. A pedestrian phase has not been provided with the traffic lights.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footway on the northern side of Mill Street towards Merchant Quay is narrow but uncluttered.</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Drop kerbs have been provided without tactile paving at the entr</w:t>
      </w:r>
      <w:r>
        <w:rPr>
          <w:rFonts w:ascii="Arial" w:hAnsi="Arial"/>
          <w:sz w:val="28"/>
          <w:szCs w:val="28"/>
          <w:lang w:val="en-US"/>
        </w:rPr>
        <w:t xml:space="preserve">ance/exit to the car park and bus centre. These are not in line and there is no pedestrian phase provided at the traffic lights. </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r>
        <w:rPr>
          <w:rFonts w:ascii="Arial" w:hAnsi="Arial"/>
          <w:sz w:val="28"/>
          <w:szCs w:val="28"/>
          <w:u w:val="single"/>
          <w:lang w:val="en-US"/>
        </w:rPr>
        <w:t>Key Recommendations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 xml:space="preserve">1 </w:t>
      </w:r>
      <w:r>
        <w:rPr>
          <w:rFonts w:ascii="Arial" w:hAnsi="Arial"/>
          <w:i/>
          <w:iCs/>
          <w:sz w:val="28"/>
          <w:szCs w:val="28"/>
          <w:lang w:val="en-US"/>
        </w:rPr>
        <w:tab/>
        <w:t>Broaden and improve footways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Many of the existing footways on the streets covered by the scheme are </w:t>
      </w:r>
      <w:r>
        <w:rPr>
          <w:rFonts w:ascii="Arial" w:hAnsi="Arial"/>
          <w:sz w:val="28"/>
          <w:szCs w:val="28"/>
          <w:lang w:val="en-US"/>
        </w:rPr>
        <w:t>narrow, some exceptionally so. Public realm improvements must ensure every opportunity is taken to provide accessible footways</w:t>
      </w:r>
      <w:r>
        <w:rPr>
          <w:rFonts w:ascii="Arial" w:hAnsi="Arial"/>
          <w:sz w:val="28"/>
          <w:szCs w:val="28"/>
        </w:rPr>
        <w:t>.</w:t>
      </w:r>
      <w:r>
        <w:rPr>
          <w:rFonts w:ascii="Arial" w:hAnsi="Arial"/>
          <w:sz w:val="28"/>
          <w:szCs w:val="28"/>
          <w:lang w:val="en-US"/>
        </w:rPr>
        <w:t xml:space="preserve"> Where there is insufficient width to achieve appropriate standards then such widening as can be made should be sought. Considera</w:t>
      </w:r>
      <w:r>
        <w:rPr>
          <w:rFonts w:ascii="Arial" w:hAnsi="Arial"/>
          <w:sz w:val="28"/>
          <w:szCs w:val="28"/>
          <w:lang w:val="en-US"/>
        </w:rPr>
        <w:t>tion should be given to removing the provision of on-street parking bays in streets such as O</w:t>
      </w:r>
      <w:r>
        <w:rPr>
          <w:rFonts w:ascii="Arial" w:hAnsi="Arial"/>
          <w:sz w:val="28"/>
          <w:szCs w:val="28"/>
          <w:lang w:val="en-US"/>
        </w:rPr>
        <w:t>’</w:t>
      </w:r>
      <w:r>
        <w:rPr>
          <w:rFonts w:ascii="Arial" w:hAnsi="Arial"/>
          <w:sz w:val="28"/>
          <w:szCs w:val="28"/>
          <w:lang w:val="en-US"/>
        </w:rPr>
        <w:t xml:space="preserve">Hagan Street to enable the provision of broader footways. </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Currently many of the footways in the streets covered by the scheme are in a poor condition and in nee</w:t>
      </w:r>
      <w:r>
        <w:rPr>
          <w:rFonts w:ascii="Arial" w:hAnsi="Arial"/>
          <w:sz w:val="28"/>
          <w:szCs w:val="28"/>
          <w:lang w:val="en-US"/>
        </w:rPr>
        <w:t>d of maintenance or replacement. Given this Imtac welcomes the scheme which will result in better quality materials and a more pleasant and accessible environment for pedestrians.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2</w:t>
      </w:r>
      <w:r>
        <w:rPr>
          <w:rFonts w:ascii="Arial" w:hAnsi="Arial"/>
          <w:i/>
          <w:iCs/>
          <w:sz w:val="28"/>
          <w:szCs w:val="28"/>
          <w:lang w:val="en-US"/>
        </w:rPr>
        <w:tab/>
        <w:t>Address current issues with crossings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At many locations current provisio</w:t>
      </w:r>
      <w:r>
        <w:rPr>
          <w:rFonts w:ascii="Arial" w:hAnsi="Arial"/>
          <w:sz w:val="28"/>
          <w:szCs w:val="28"/>
          <w:lang w:val="en-US"/>
        </w:rPr>
        <w:t>n for crossing the streets is inadequate or in some cases dangerous. Issues include an absence of tactile paving or incorrectly laid tactile paving and a lack of any safe or accessible crossing opportunity. In addition to broader footways, all current cont</w:t>
      </w:r>
      <w:r>
        <w:rPr>
          <w:rFonts w:ascii="Arial" w:hAnsi="Arial"/>
          <w:sz w:val="28"/>
          <w:szCs w:val="28"/>
          <w:lang w:val="en-US"/>
        </w:rPr>
        <w:t xml:space="preserve">rolled and uncontrolled crossings must be upgraded to meet current design standards. Providing a safe and accessible way for all pedestrians to cross the car park entrances and exits on both sides of the footway on Mill Street as it approaches Buttercrane </w:t>
      </w:r>
      <w:r>
        <w:rPr>
          <w:rFonts w:ascii="Arial" w:hAnsi="Arial"/>
          <w:sz w:val="28"/>
          <w:szCs w:val="28"/>
          <w:lang w:val="en-US"/>
        </w:rPr>
        <w:t>and Merchant Quays is a particular priority. Junctions which are signalised should be upgraded to include a pedestrian crossing phase where this is not already the case. In some cases the carriageway surface at the crossing may require upgrading or replaci</w:t>
      </w:r>
      <w:r>
        <w:rPr>
          <w:rFonts w:ascii="Arial" w:hAnsi="Arial"/>
          <w:sz w:val="28"/>
          <w:szCs w:val="28"/>
          <w:lang w:val="en-US"/>
        </w:rPr>
        <w:t>ng.</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 xml:space="preserve">3 </w:t>
      </w:r>
      <w:r>
        <w:rPr>
          <w:rFonts w:ascii="Arial" w:hAnsi="Arial"/>
          <w:i/>
          <w:iCs/>
          <w:sz w:val="28"/>
          <w:szCs w:val="28"/>
          <w:lang w:val="en-US"/>
        </w:rPr>
        <w:tab/>
        <w:t>Provide additional opportunities to cross streets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There are limited opportunities to cross John Mitchell Place and Hill Street along their lengths. Consideration should be given to providing additional opportunities to cross from one side of these</w:t>
      </w:r>
      <w:r>
        <w:rPr>
          <w:rFonts w:ascii="Arial" w:hAnsi="Arial"/>
          <w:sz w:val="28"/>
          <w:szCs w:val="28"/>
          <w:lang w:val="en-US"/>
        </w:rPr>
        <w:t xml:space="preserve"> streets to the other. Crossings should safe and accessible with dropped kerbs or raised table crossings incorporating appropriate tactile paving.</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4</w:t>
      </w:r>
      <w:r>
        <w:rPr>
          <w:rFonts w:ascii="Arial" w:eastAsia="Arial" w:hAnsi="Arial" w:cs="Arial"/>
          <w:i/>
          <w:iCs/>
          <w:sz w:val="28"/>
          <w:szCs w:val="28"/>
          <w:lang w:val="fr-FR"/>
        </w:rPr>
        <w:tab/>
        <w:t>Reduce pavement clutter</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Currently there are issues in the city centre with clutter on pavement which redu</w:t>
      </w:r>
      <w:r>
        <w:rPr>
          <w:rFonts w:ascii="Arial" w:hAnsi="Arial"/>
          <w:sz w:val="28"/>
          <w:szCs w:val="28"/>
          <w:lang w:val="en-US"/>
        </w:rPr>
        <w:t>ces already narrow  footway widths and creates unnecessary hazards for pedestrians. These include the design and location of street furniture, particularly planters, and the activities of businesses. The public realm scheme must reduce the impact of clutte</w:t>
      </w:r>
      <w:r>
        <w:rPr>
          <w:rFonts w:ascii="Arial" w:hAnsi="Arial"/>
          <w:sz w:val="28"/>
          <w:szCs w:val="28"/>
          <w:lang w:val="en-US"/>
        </w:rPr>
        <w:t>r by giving careful thought to the design and location of street furniture including lighting columns. Traders in the town should be discouraged from placing items on the footway with enforcement considered as an ultimate sanction.</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5</w:t>
      </w:r>
      <w:r>
        <w:rPr>
          <w:rFonts w:ascii="Arial" w:hAnsi="Arial"/>
          <w:i/>
          <w:iCs/>
          <w:sz w:val="28"/>
          <w:szCs w:val="28"/>
          <w:lang w:val="en-US"/>
        </w:rPr>
        <w:tab/>
        <w:t xml:space="preserve">Maximise accessible </w:t>
      </w:r>
      <w:r>
        <w:rPr>
          <w:rFonts w:ascii="Arial" w:hAnsi="Arial"/>
          <w:i/>
          <w:iCs/>
          <w:sz w:val="28"/>
          <w:szCs w:val="28"/>
          <w:lang w:val="en-US"/>
        </w:rPr>
        <w:t>parking opportunities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Imtac recommends that the public realm improvements seek to improve the current </w:t>
      </w:r>
      <w:r>
        <w:rPr>
          <w:rFonts w:ascii="Arial" w:hAnsi="Arial"/>
          <w:sz w:val="28"/>
          <w:szCs w:val="28"/>
          <w:lang w:val="it-IT"/>
        </w:rPr>
        <w:t>provision</w:t>
      </w:r>
      <w:r>
        <w:rPr>
          <w:rFonts w:ascii="Arial" w:hAnsi="Arial"/>
          <w:sz w:val="28"/>
          <w:szCs w:val="28"/>
          <w:lang w:val="en-US"/>
        </w:rPr>
        <w:t xml:space="preserve"> of accessible parking bays. Consideration should be given to the design and location of these bays. Bays should be designed to optimum dimensio</w:t>
      </w:r>
      <w:r>
        <w:rPr>
          <w:rFonts w:ascii="Arial" w:hAnsi="Arial"/>
          <w:sz w:val="28"/>
          <w:szCs w:val="28"/>
          <w:lang w:val="en-US"/>
        </w:rPr>
        <w:t>ns, giving consideration to people who use larger, rear entry vehicles. A dropped kerb should be provided with all bays and be located to enable easy access to the footway.</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6</w:t>
      </w:r>
      <w:r>
        <w:rPr>
          <w:rFonts w:ascii="Arial" w:eastAsia="Arial" w:hAnsi="Arial" w:cs="Arial"/>
          <w:i/>
          <w:iCs/>
          <w:sz w:val="28"/>
          <w:szCs w:val="28"/>
          <w:lang w:val="en-US"/>
        </w:rPr>
        <w:tab/>
        <w:t>Improve access to premises</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public realm improvements should maximise opport</w:t>
      </w:r>
      <w:r>
        <w:rPr>
          <w:rFonts w:ascii="Arial" w:hAnsi="Arial"/>
          <w:sz w:val="28"/>
          <w:szCs w:val="28"/>
          <w:lang w:val="en-US"/>
        </w:rPr>
        <w:t>unities to improve access to businesses from the footway on the streets concerned. The aim should be to provide step-free flush access to premises where this is possible.</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r>
        <w:rPr>
          <w:rFonts w:ascii="Arial" w:hAnsi="Arial"/>
          <w:i/>
          <w:iCs/>
          <w:sz w:val="28"/>
          <w:szCs w:val="28"/>
          <w:lang w:val="en-US"/>
        </w:rPr>
        <w:t>7</w:t>
      </w:r>
      <w:r>
        <w:rPr>
          <w:rFonts w:ascii="Arial" w:eastAsia="Arial" w:hAnsi="Arial" w:cs="Arial"/>
          <w:i/>
          <w:iCs/>
          <w:sz w:val="28"/>
          <w:szCs w:val="28"/>
        </w:rPr>
        <w:tab/>
      </w:r>
      <w:r>
        <w:rPr>
          <w:rFonts w:ascii="Arial" w:hAnsi="Arial"/>
          <w:i/>
          <w:iCs/>
          <w:sz w:val="28"/>
          <w:szCs w:val="28"/>
          <w:lang w:val="en-US"/>
        </w:rPr>
        <w:t>Make St Colman</w:t>
      </w:r>
      <w:r>
        <w:rPr>
          <w:rFonts w:ascii="Arial" w:hAnsi="Arial"/>
          <w:i/>
          <w:iCs/>
          <w:sz w:val="28"/>
          <w:szCs w:val="28"/>
          <w:lang w:val="en-US"/>
        </w:rPr>
        <w:t>’</w:t>
      </w:r>
      <w:r>
        <w:rPr>
          <w:rFonts w:ascii="Arial" w:hAnsi="Arial"/>
          <w:i/>
          <w:iCs/>
          <w:sz w:val="28"/>
          <w:szCs w:val="28"/>
          <w:lang w:val="en-US"/>
        </w:rPr>
        <w:t>s Park a more people friendly place</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i/>
          <w:iCs/>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Currently St Colman</w:t>
      </w:r>
      <w:r>
        <w:rPr>
          <w:rFonts w:ascii="Arial" w:hAnsi="Arial"/>
          <w:sz w:val="28"/>
          <w:szCs w:val="28"/>
          <w:lang w:val="en-US"/>
        </w:rPr>
        <w:t>’</w:t>
      </w:r>
      <w:r>
        <w:rPr>
          <w:rFonts w:ascii="Arial" w:hAnsi="Arial"/>
          <w:sz w:val="28"/>
          <w:szCs w:val="28"/>
          <w:lang w:val="en-US"/>
        </w:rPr>
        <w:t xml:space="preserve">s Park is </w:t>
      </w:r>
      <w:r>
        <w:rPr>
          <w:rFonts w:ascii="Arial" w:hAnsi="Arial"/>
          <w:sz w:val="28"/>
          <w:szCs w:val="28"/>
          <w:lang w:val="en-US"/>
        </w:rPr>
        <w:t>one of the few green spaces in Newry city centre. Unfortunately the area around the park is largely inaccessible, with narrow, incomplete footways, poor surfaces and a lack of accessible crossings. The area is dominated currently by parked cars. Consequent</w:t>
      </w:r>
      <w:r>
        <w:rPr>
          <w:rFonts w:ascii="Arial" w:hAnsi="Arial"/>
          <w:sz w:val="28"/>
          <w:szCs w:val="28"/>
          <w:lang w:val="en-US"/>
        </w:rPr>
        <w:t>ly the park itself is not accessible.</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The scheme should prioritise improving the area around St Colman</w:t>
      </w:r>
      <w:r>
        <w:rPr>
          <w:rFonts w:ascii="Arial" w:hAnsi="Arial"/>
          <w:sz w:val="28"/>
          <w:szCs w:val="28"/>
          <w:lang w:val="en-US"/>
        </w:rPr>
        <w:t>’</w:t>
      </w:r>
      <w:r>
        <w:rPr>
          <w:rFonts w:ascii="Arial" w:hAnsi="Arial"/>
          <w:sz w:val="28"/>
          <w:szCs w:val="28"/>
          <w:lang w:val="en-US"/>
        </w:rPr>
        <w:t>s Park to make it an area pedestrians might want to visit and use. Access to the park itself should be improved. Where possible footways should be broad</w:t>
      </w:r>
      <w:r>
        <w:rPr>
          <w:rFonts w:ascii="Arial" w:hAnsi="Arial"/>
          <w:sz w:val="28"/>
          <w:szCs w:val="28"/>
          <w:lang w:val="en-US"/>
        </w:rPr>
        <w:t xml:space="preserve">ened. Consideration could be given to improving the environs and access by reducing and controlling parking (a residents/business holder permit scheme?). Illegal parking should be strictly enforced. </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r>
        <w:rPr>
          <w:rFonts w:ascii="Arial" w:hAnsi="Arial"/>
          <w:sz w:val="28"/>
          <w:szCs w:val="28"/>
          <w:u w:val="single"/>
          <w:lang w:val="it-IT"/>
        </w:rPr>
        <w:t>Conclusion</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93311A" w:rsidRDefault="00F47CA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Imtac thanks the Council and its design consultants for the early engagement with the Committee on developing proposals for public realm improvements Newry city centre. Despite obvious constraints the Committee believes there are opportunities to make sign</w:t>
      </w:r>
      <w:r>
        <w:rPr>
          <w:rFonts w:ascii="Arial" w:hAnsi="Arial"/>
          <w:sz w:val="28"/>
          <w:szCs w:val="28"/>
          <w:lang w:val="en-US"/>
        </w:rPr>
        <w:t>ificant improvements which will directly benefit older people and disabled people. Imtac would welcome further discussions with the Council and its consultants before decisions are taken about the final designs</w:t>
      </w:r>
      <w:r>
        <w:rPr>
          <w:rFonts w:ascii="Arial" w:hAnsi="Arial"/>
          <w:sz w:val="28"/>
          <w:szCs w:val="28"/>
        </w:rPr>
        <w:t>.</w:t>
      </w:r>
    </w:p>
    <w:p w:rsidR="0093311A" w:rsidRDefault="0093311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sectPr w:rsidR="0093311A">
      <w:headerReference w:type="default"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AE" w:rsidRDefault="00F47CAE">
      <w:r>
        <w:separator/>
      </w:r>
    </w:p>
  </w:endnote>
  <w:endnote w:type="continuationSeparator" w:id="0">
    <w:p w:rsidR="00F47CAE" w:rsidRDefault="00F4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1A" w:rsidRDefault="00F47CAE">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fldChar w:fldCharType="begin"/>
    </w:r>
    <w:r>
      <w:instrText xml:space="preserve"> PAGE </w:instrText>
    </w:r>
    <w:r>
      <w:fldChar w:fldCharType="separate"/>
    </w:r>
    <w:r w:rsidR="00E24F6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AE" w:rsidRDefault="00F47CAE">
      <w:r>
        <w:separator/>
      </w:r>
    </w:p>
  </w:footnote>
  <w:footnote w:type="continuationSeparator" w:id="0">
    <w:p w:rsidR="00F47CAE" w:rsidRDefault="00F47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1A" w:rsidRDefault="0093311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F4A"/>
    <w:multiLevelType w:val="hybridMultilevel"/>
    <w:tmpl w:val="EB746452"/>
    <w:numStyleLink w:val="Bullet"/>
  </w:abstractNum>
  <w:abstractNum w:abstractNumId="1">
    <w:nsid w:val="34C40EF1"/>
    <w:multiLevelType w:val="hybridMultilevel"/>
    <w:tmpl w:val="EB746452"/>
    <w:styleLink w:val="Bullet"/>
    <w:lvl w:ilvl="0" w:tplc="27820384">
      <w:start w:val="1"/>
      <w:numFmt w:val="bullet"/>
      <w:lvlText w:val="•"/>
      <w:lvlJc w:val="left"/>
      <w:pPr>
        <w:tabs>
          <w:tab w:val="num" w:pos="570"/>
        </w:tabs>
        <w:ind w:left="930" w:hanging="570"/>
      </w:pPr>
      <w:rPr>
        <w:rFonts w:hAnsi="Arial Unicode MS"/>
        <w:caps w:val="0"/>
        <w:smallCaps w:val="0"/>
        <w:strike w:val="0"/>
        <w:dstrike w:val="0"/>
        <w:outline w:val="0"/>
        <w:emboss w:val="0"/>
        <w:imprint w:val="0"/>
        <w:spacing w:val="0"/>
        <w:w w:val="100"/>
        <w:kern w:val="0"/>
        <w:position w:val="-2"/>
        <w:highlight w:val="none"/>
        <w:vertAlign w:val="baseline"/>
      </w:rPr>
    </w:lvl>
    <w:lvl w:ilvl="1" w:tplc="340062EA">
      <w:start w:val="1"/>
      <w:numFmt w:val="bullet"/>
      <w:lvlText w:val="•"/>
      <w:lvlJc w:val="left"/>
      <w:pPr>
        <w:tabs>
          <w:tab w:val="num" w:pos="930"/>
        </w:tabs>
        <w:ind w:left="1290" w:hanging="570"/>
      </w:pPr>
      <w:rPr>
        <w:rFonts w:hAnsi="Arial Unicode MS"/>
        <w:caps w:val="0"/>
        <w:smallCaps w:val="0"/>
        <w:strike w:val="0"/>
        <w:dstrike w:val="0"/>
        <w:outline w:val="0"/>
        <w:emboss w:val="0"/>
        <w:imprint w:val="0"/>
        <w:spacing w:val="0"/>
        <w:w w:val="100"/>
        <w:kern w:val="0"/>
        <w:position w:val="-2"/>
        <w:highlight w:val="none"/>
        <w:vertAlign w:val="baseline"/>
      </w:rPr>
    </w:lvl>
    <w:lvl w:ilvl="2" w:tplc="323A5C16">
      <w:start w:val="1"/>
      <w:numFmt w:val="bullet"/>
      <w:lvlText w:val="•"/>
      <w:lvlJc w:val="left"/>
      <w:pPr>
        <w:tabs>
          <w:tab w:val="num" w:pos="1290"/>
        </w:tabs>
        <w:ind w:left="1650" w:hanging="570"/>
      </w:pPr>
      <w:rPr>
        <w:rFonts w:hAnsi="Arial Unicode MS"/>
        <w:caps w:val="0"/>
        <w:smallCaps w:val="0"/>
        <w:strike w:val="0"/>
        <w:dstrike w:val="0"/>
        <w:outline w:val="0"/>
        <w:emboss w:val="0"/>
        <w:imprint w:val="0"/>
        <w:spacing w:val="0"/>
        <w:w w:val="100"/>
        <w:kern w:val="0"/>
        <w:position w:val="-2"/>
        <w:highlight w:val="none"/>
        <w:vertAlign w:val="baseline"/>
      </w:rPr>
    </w:lvl>
    <w:lvl w:ilvl="3" w:tplc="3E20AD92">
      <w:start w:val="1"/>
      <w:numFmt w:val="bullet"/>
      <w:lvlText w:val="•"/>
      <w:lvlJc w:val="left"/>
      <w:pPr>
        <w:tabs>
          <w:tab w:val="num" w:pos="1650"/>
        </w:tabs>
        <w:ind w:left="2010" w:hanging="570"/>
      </w:pPr>
      <w:rPr>
        <w:rFonts w:hAnsi="Arial Unicode MS"/>
        <w:caps w:val="0"/>
        <w:smallCaps w:val="0"/>
        <w:strike w:val="0"/>
        <w:dstrike w:val="0"/>
        <w:outline w:val="0"/>
        <w:emboss w:val="0"/>
        <w:imprint w:val="0"/>
        <w:spacing w:val="0"/>
        <w:w w:val="100"/>
        <w:kern w:val="0"/>
        <w:position w:val="-2"/>
        <w:highlight w:val="none"/>
        <w:vertAlign w:val="baseline"/>
      </w:rPr>
    </w:lvl>
    <w:lvl w:ilvl="4" w:tplc="66509FC4">
      <w:start w:val="1"/>
      <w:numFmt w:val="bullet"/>
      <w:lvlText w:val="•"/>
      <w:lvlJc w:val="left"/>
      <w:pPr>
        <w:tabs>
          <w:tab w:val="num" w:pos="2010"/>
        </w:tabs>
        <w:ind w:left="2370" w:hanging="570"/>
      </w:pPr>
      <w:rPr>
        <w:rFonts w:hAnsi="Arial Unicode MS"/>
        <w:caps w:val="0"/>
        <w:smallCaps w:val="0"/>
        <w:strike w:val="0"/>
        <w:dstrike w:val="0"/>
        <w:outline w:val="0"/>
        <w:emboss w:val="0"/>
        <w:imprint w:val="0"/>
        <w:spacing w:val="0"/>
        <w:w w:val="100"/>
        <w:kern w:val="0"/>
        <w:position w:val="-2"/>
        <w:highlight w:val="none"/>
        <w:vertAlign w:val="baseline"/>
      </w:rPr>
    </w:lvl>
    <w:lvl w:ilvl="5" w:tplc="8E5A9ADC">
      <w:start w:val="1"/>
      <w:numFmt w:val="bullet"/>
      <w:lvlText w:val="•"/>
      <w:lvlJc w:val="left"/>
      <w:pPr>
        <w:tabs>
          <w:tab w:val="num" w:pos="2370"/>
        </w:tabs>
        <w:ind w:left="2730" w:hanging="570"/>
      </w:pPr>
      <w:rPr>
        <w:rFonts w:hAnsi="Arial Unicode MS"/>
        <w:caps w:val="0"/>
        <w:smallCaps w:val="0"/>
        <w:strike w:val="0"/>
        <w:dstrike w:val="0"/>
        <w:outline w:val="0"/>
        <w:emboss w:val="0"/>
        <w:imprint w:val="0"/>
        <w:spacing w:val="0"/>
        <w:w w:val="100"/>
        <w:kern w:val="0"/>
        <w:position w:val="-2"/>
        <w:highlight w:val="none"/>
        <w:vertAlign w:val="baseline"/>
      </w:rPr>
    </w:lvl>
    <w:lvl w:ilvl="6" w:tplc="56324200">
      <w:start w:val="1"/>
      <w:numFmt w:val="bullet"/>
      <w:lvlText w:val="•"/>
      <w:lvlJc w:val="left"/>
      <w:pPr>
        <w:tabs>
          <w:tab w:val="num" w:pos="2730"/>
        </w:tabs>
        <w:ind w:left="3090" w:hanging="570"/>
      </w:pPr>
      <w:rPr>
        <w:rFonts w:hAnsi="Arial Unicode MS"/>
        <w:caps w:val="0"/>
        <w:smallCaps w:val="0"/>
        <w:strike w:val="0"/>
        <w:dstrike w:val="0"/>
        <w:outline w:val="0"/>
        <w:emboss w:val="0"/>
        <w:imprint w:val="0"/>
        <w:spacing w:val="0"/>
        <w:w w:val="100"/>
        <w:kern w:val="0"/>
        <w:position w:val="-2"/>
        <w:highlight w:val="none"/>
        <w:vertAlign w:val="baseline"/>
      </w:rPr>
    </w:lvl>
    <w:lvl w:ilvl="7" w:tplc="7494C652">
      <w:start w:val="1"/>
      <w:numFmt w:val="bullet"/>
      <w:lvlText w:val="•"/>
      <w:lvlJc w:val="left"/>
      <w:pPr>
        <w:tabs>
          <w:tab w:val="num" w:pos="3090"/>
        </w:tabs>
        <w:ind w:left="3450" w:hanging="570"/>
      </w:pPr>
      <w:rPr>
        <w:rFonts w:hAnsi="Arial Unicode MS"/>
        <w:caps w:val="0"/>
        <w:smallCaps w:val="0"/>
        <w:strike w:val="0"/>
        <w:dstrike w:val="0"/>
        <w:outline w:val="0"/>
        <w:emboss w:val="0"/>
        <w:imprint w:val="0"/>
        <w:spacing w:val="0"/>
        <w:w w:val="100"/>
        <w:kern w:val="0"/>
        <w:position w:val="-2"/>
        <w:highlight w:val="none"/>
        <w:vertAlign w:val="baseline"/>
      </w:rPr>
    </w:lvl>
    <w:lvl w:ilvl="8" w:tplc="F2E8322C">
      <w:start w:val="1"/>
      <w:numFmt w:val="bullet"/>
      <w:lvlText w:val="•"/>
      <w:lvlJc w:val="left"/>
      <w:pPr>
        <w:tabs>
          <w:tab w:val="num" w:pos="3450"/>
        </w:tabs>
        <w:ind w:left="3810" w:hanging="57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3311A"/>
    <w:rsid w:val="0093311A"/>
    <w:rsid w:val="00E24F6A"/>
    <w:rsid w:val="00F4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Body">
    <w:name w:val="Body"/>
    <w:rPr>
      <w:rFonts w:ascii="Helvetica" w:hAnsi="Helvetica" w:cs="Arial Unicode MS"/>
      <w:color w:val="000000"/>
      <w:sz w:val="24"/>
      <w:szCs w:val="24"/>
    </w:rPr>
  </w:style>
  <w:style w:type="paragraph" w:customStyle="1" w:styleId="FreeForm">
    <w:name w:val="Free Form"/>
    <w:rPr>
      <w:rFonts w:ascii="Helvetica" w:hAnsi="Helvetica" w:cs="Arial Unicode MS"/>
      <w:color w:val="000000"/>
      <w:sz w:val="24"/>
      <w:szCs w:val="24"/>
    </w:rPr>
  </w:style>
  <w:style w:type="numbering" w:customStyle="1" w:styleId="Bullet">
    <w:name w:val="Bullet"/>
    <w:pPr>
      <w:numPr>
        <w:numId w:val="1"/>
      </w:numPr>
    </w:pPr>
  </w:style>
  <w:style w:type="character" w:customStyle="1" w:styleId="Hyperlink0">
    <w:name w:val="Hyperlink.0"/>
    <w:basedOn w:val="Hyperlink"/>
    <w:rPr>
      <w:color w:val="0000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Body">
    <w:name w:val="Body"/>
    <w:rPr>
      <w:rFonts w:ascii="Helvetica" w:hAnsi="Helvetica" w:cs="Arial Unicode MS"/>
      <w:color w:val="000000"/>
      <w:sz w:val="24"/>
      <w:szCs w:val="24"/>
    </w:rPr>
  </w:style>
  <w:style w:type="paragraph" w:customStyle="1" w:styleId="FreeForm">
    <w:name w:val="Free Form"/>
    <w:rPr>
      <w:rFonts w:ascii="Helvetica" w:hAnsi="Helvetica" w:cs="Arial Unicode MS"/>
      <w:color w:val="000000"/>
      <w:sz w:val="24"/>
      <w:szCs w:val="24"/>
    </w:rPr>
  </w:style>
  <w:style w:type="numbering" w:customStyle="1" w:styleId="Bullet">
    <w:name w:val="Bullet"/>
    <w:pPr>
      <w:numPr>
        <w:numId w:val="1"/>
      </w:numPr>
    </w:pPr>
  </w:style>
  <w:style w:type="character" w:customStyle="1" w:styleId="Hyperlink0">
    <w:name w:val="Hyperlink.0"/>
    <w:basedOn w:val="Hyperlink"/>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mtac.org.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2018-09-28T07:55:00Z</dcterms:created>
  <dcterms:modified xsi:type="dcterms:W3CDTF">2018-09-28T07:55:00Z</dcterms:modified>
</cp:coreProperties>
</file>