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35DBB" w14:textId="77777777" w:rsidR="00683CBD" w:rsidRPr="00683CBD" w:rsidRDefault="00683CBD" w:rsidP="00683CBD">
      <w:pPr>
        <w:ind w:firstLine="720"/>
        <w:rPr>
          <w:rFonts w:ascii="Arial" w:hAnsi="Arial" w:cs="Arial"/>
          <w:b/>
          <w:sz w:val="28"/>
          <w:szCs w:val="28"/>
        </w:rPr>
      </w:pPr>
      <w:r w:rsidRPr="00683CBD">
        <w:rPr>
          <w:rFonts w:ascii="Arial" w:hAnsi="Arial" w:cs="Arial"/>
          <w:b/>
          <w:noProof/>
          <w:sz w:val="28"/>
          <w:szCs w:val="28"/>
        </w:rPr>
        <w:drawing>
          <wp:inline distT="0" distB="0" distL="0" distR="0" wp14:anchorId="28BB95CA" wp14:editId="3F6E3C53">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438F834F" w14:textId="77777777" w:rsidR="00683CBD" w:rsidRPr="00683CBD" w:rsidRDefault="00683CBD" w:rsidP="00683CBD">
      <w:pPr>
        <w:rPr>
          <w:rFonts w:ascii="Arial" w:hAnsi="Arial" w:cs="Arial"/>
          <w:b/>
          <w:bCs/>
          <w:sz w:val="28"/>
          <w:szCs w:val="28"/>
        </w:rPr>
      </w:pPr>
    </w:p>
    <w:p w14:paraId="73AD4643" w14:textId="38D3B3E1" w:rsidR="00683CBD" w:rsidRDefault="00683CBD" w:rsidP="001B6822">
      <w:pPr>
        <w:jc w:val="center"/>
        <w:rPr>
          <w:rFonts w:ascii="Arial" w:hAnsi="Arial" w:cs="Arial"/>
          <w:b/>
          <w:bCs/>
          <w:sz w:val="36"/>
          <w:szCs w:val="36"/>
        </w:rPr>
      </w:pPr>
      <w:bookmarkStart w:id="0" w:name="_GoBack"/>
      <w:r w:rsidRPr="00683CBD">
        <w:rPr>
          <w:rFonts w:ascii="Arial" w:hAnsi="Arial" w:cs="Arial"/>
          <w:b/>
          <w:bCs/>
          <w:sz w:val="36"/>
          <w:szCs w:val="36"/>
        </w:rPr>
        <w:t xml:space="preserve">Revised </w:t>
      </w:r>
      <w:r w:rsidR="00FC7656">
        <w:rPr>
          <w:rFonts w:ascii="Arial" w:hAnsi="Arial" w:cs="Arial"/>
          <w:b/>
          <w:bCs/>
          <w:sz w:val="36"/>
          <w:szCs w:val="36"/>
        </w:rPr>
        <w:t xml:space="preserve">Statement on </w:t>
      </w:r>
      <w:r w:rsidRPr="00683CBD">
        <w:rPr>
          <w:rFonts w:ascii="Arial" w:hAnsi="Arial" w:cs="Arial"/>
          <w:b/>
          <w:bCs/>
          <w:sz w:val="36"/>
          <w:szCs w:val="36"/>
        </w:rPr>
        <w:t xml:space="preserve">Shared Space </w:t>
      </w:r>
    </w:p>
    <w:bookmarkEnd w:id="0"/>
    <w:p w14:paraId="11A5210B" w14:textId="77777777" w:rsidR="00DF3937" w:rsidRDefault="00DF3937" w:rsidP="00DF3937">
      <w:pPr>
        <w:ind w:left="5760" w:firstLine="720"/>
        <w:rPr>
          <w:rFonts w:ascii="Arial" w:hAnsi="Arial" w:cs="Arial"/>
          <w:b/>
          <w:bCs/>
          <w:sz w:val="36"/>
          <w:szCs w:val="36"/>
        </w:rPr>
      </w:pPr>
    </w:p>
    <w:p w14:paraId="596D6D01" w14:textId="79CB91CB" w:rsidR="00683CBD" w:rsidRPr="00683CBD" w:rsidRDefault="00683CBD" w:rsidP="00DF3937">
      <w:pPr>
        <w:ind w:left="5760" w:firstLine="720"/>
        <w:rPr>
          <w:rFonts w:ascii="Arial" w:hAnsi="Arial" w:cs="Arial"/>
          <w:b/>
          <w:bCs/>
          <w:sz w:val="36"/>
          <w:szCs w:val="36"/>
        </w:rPr>
      </w:pPr>
      <w:r w:rsidRPr="00683CBD">
        <w:rPr>
          <w:rFonts w:ascii="Arial" w:hAnsi="Arial" w:cs="Arial"/>
          <w:b/>
          <w:bCs/>
          <w:sz w:val="36"/>
          <w:szCs w:val="36"/>
        </w:rPr>
        <w:t>(</w:t>
      </w:r>
      <w:r>
        <w:rPr>
          <w:rFonts w:ascii="Arial" w:hAnsi="Arial" w:cs="Arial"/>
          <w:b/>
          <w:bCs/>
          <w:sz w:val="36"/>
          <w:szCs w:val="36"/>
        </w:rPr>
        <w:t>April</w:t>
      </w:r>
      <w:r w:rsidRPr="00683CBD">
        <w:rPr>
          <w:rFonts w:ascii="Arial" w:hAnsi="Arial" w:cs="Arial"/>
          <w:b/>
          <w:bCs/>
          <w:sz w:val="36"/>
          <w:szCs w:val="36"/>
        </w:rPr>
        <w:t xml:space="preserve"> 2018)</w:t>
      </w:r>
    </w:p>
    <w:p w14:paraId="55FB9228" w14:textId="77777777" w:rsidR="00683CBD" w:rsidRDefault="00683CBD" w:rsidP="00683CBD">
      <w:pPr>
        <w:rPr>
          <w:rFonts w:ascii="Arial" w:hAnsi="Arial" w:cs="Arial"/>
          <w:b/>
          <w:bCs/>
          <w:sz w:val="28"/>
          <w:szCs w:val="28"/>
        </w:rPr>
      </w:pPr>
    </w:p>
    <w:p w14:paraId="2F22FDB8" w14:textId="77777777" w:rsidR="00683CBD" w:rsidRDefault="00683CBD" w:rsidP="00683CBD">
      <w:pPr>
        <w:rPr>
          <w:rFonts w:ascii="Arial" w:hAnsi="Arial" w:cs="Arial"/>
          <w:b/>
          <w:bCs/>
          <w:sz w:val="28"/>
          <w:szCs w:val="28"/>
        </w:rPr>
      </w:pPr>
    </w:p>
    <w:p w14:paraId="6C6C58FA" w14:textId="77777777" w:rsidR="00683CBD" w:rsidRDefault="00683CBD" w:rsidP="00683CBD">
      <w:pPr>
        <w:rPr>
          <w:rFonts w:ascii="Arial" w:hAnsi="Arial" w:cs="Arial"/>
          <w:b/>
          <w:bCs/>
          <w:sz w:val="28"/>
          <w:szCs w:val="28"/>
        </w:rPr>
      </w:pPr>
    </w:p>
    <w:p w14:paraId="139E668F" w14:textId="77777777" w:rsidR="00683CBD" w:rsidRDefault="00683CBD" w:rsidP="00683CBD">
      <w:pPr>
        <w:rPr>
          <w:rFonts w:ascii="Arial" w:hAnsi="Arial" w:cs="Arial"/>
          <w:b/>
          <w:bCs/>
          <w:sz w:val="28"/>
          <w:szCs w:val="28"/>
        </w:rPr>
      </w:pPr>
    </w:p>
    <w:p w14:paraId="3ED1399E" w14:textId="77777777" w:rsidR="00683CBD" w:rsidRDefault="00683CBD" w:rsidP="00683CBD">
      <w:pPr>
        <w:rPr>
          <w:rFonts w:ascii="Arial" w:hAnsi="Arial" w:cs="Arial"/>
          <w:b/>
          <w:bCs/>
          <w:sz w:val="28"/>
          <w:szCs w:val="28"/>
        </w:rPr>
      </w:pPr>
    </w:p>
    <w:p w14:paraId="7B9C28AE" w14:textId="77777777" w:rsidR="00683CBD" w:rsidRDefault="00683CBD" w:rsidP="00683CBD">
      <w:pPr>
        <w:rPr>
          <w:rFonts w:ascii="Arial" w:hAnsi="Arial" w:cs="Arial"/>
          <w:b/>
          <w:bCs/>
          <w:sz w:val="28"/>
          <w:szCs w:val="28"/>
        </w:rPr>
      </w:pPr>
    </w:p>
    <w:p w14:paraId="30D18396" w14:textId="77777777" w:rsidR="00683CBD" w:rsidRDefault="00683CBD" w:rsidP="00683CBD">
      <w:pPr>
        <w:rPr>
          <w:rFonts w:ascii="Arial" w:hAnsi="Arial" w:cs="Arial"/>
          <w:b/>
          <w:bCs/>
          <w:sz w:val="28"/>
          <w:szCs w:val="28"/>
        </w:rPr>
      </w:pPr>
    </w:p>
    <w:p w14:paraId="70B1EC61" w14:textId="77777777" w:rsidR="00683CBD" w:rsidRDefault="00683CBD" w:rsidP="00683CBD">
      <w:pPr>
        <w:rPr>
          <w:rFonts w:ascii="Arial" w:hAnsi="Arial" w:cs="Arial"/>
          <w:b/>
          <w:bCs/>
          <w:sz w:val="28"/>
          <w:szCs w:val="28"/>
        </w:rPr>
      </w:pPr>
    </w:p>
    <w:p w14:paraId="74C62BBD" w14:textId="77777777" w:rsidR="00683CBD" w:rsidRDefault="00683CBD" w:rsidP="00683CBD">
      <w:pPr>
        <w:rPr>
          <w:rFonts w:ascii="Arial" w:hAnsi="Arial" w:cs="Arial"/>
          <w:b/>
          <w:bCs/>
          <w:sz w:val="28"/>
          <w:szCs w:val="28"/>
        </w:rPr>
      </w:pPr>
    </w:p>
    <w:p w14:paraId="7188DE14" w14:textId="77777777" w:rsidR="00683CBD" w:rsidRDefault="00683CBD" w:rsidP="00683CBD">
      <w:pPr>
        <w:rPr>
          <w:rFonts w:ascii="Arial" w:hAnsi="Arial" w:cs="Arial"/>
          <w:b/>
          <w:bCs/>
          <w:sz w:val="28"/>
          <w:szCs w:val="28"/>
        </w:rPr>
      </w:pPr>
    </w:p>
    <w:p w14:paraId="2ABC9F2D" w14:textId="77777777" w:rsidR="00683CBD" w:rsidRPr="00683CBD" w:rsidRDefault="00683CBD" w:rsidP="00683CBD">
      <w:pPr>
        <w:rPr>
          <w:rFonts w:ascii="Arial" w:hAnsi="Arial" w:cs="Arial"/>
          <w:b/>
          <w:bCs/>
          <w:sz w:val="28"/>
          <w:szCs w:val="28"/>
        </w:rPr>
      </w:pPr>
    </w:p>
    <w:p w14:paraId="21334935" w14:textId="77777777" w:rsidR="00683CBD" w:rsidRPr="00683CBD" w:rsidRDefault="00683CBD" w:rsidP="00683CBD">
      <w:pPr>
        <w:rPr>
          <w:rFonts w:ascii="Arial" w:hAnsi="Arial" w:cs="Arial"/>
          <w:bCs/>
          <w:sz w:val="36"/>
          <w:szCs w:val="36"/>
        </w:rPr>
      </w:pPr>
      <w:proofErr w:type="spellStart"/>
      <w:r w:rsidRPr="00683CBD">
        <w:rPr>
          <w:rFonts w:ascii="Arial" w:hAnsi="Arial" w:cs="Arial"/>
          <w:bCs/>
          <w:sz w:val="36"/>
          <w:szCs w:val="36"/>
        </w:rPr>
        <w:t>Imtac</w:t>
      </w:r>
      <w:proofErr w:type="spellEnd"/>
      <w:r w:rsidRPr="00683CBD">
        <w:rPr>
          <w:rFonts w:ascii="Arial" w:hAnsi="Arial" w:cs="Arial"/>
          <w:bCs/>
          <w:sz w:val="36"/>
          <w:szCs w:val="36"/>
        </w:rPr>
        <w:t xml:space="preserve"> is committed to making information about our work accessible.  Details of how to obtain information in your preferred format are included on the next page.</w:t>
      </w:r>
    </w:p>
    <w:p w14:paraId="478C3126" w14:textId="77777777" w:rsidR="00683CBD" w:rsidRPr="00683CBD" w:rsidRDefault="00683CBD" w:rsidP="00683CBD">
      <w:pPr>
        <w:rPr>
          <w:rFonts w:ascii="Arial" w:hAnsi="Arial" w:cs="Arial"/>
          <w:b/>
          <w:sz w:val="28"/>
          <w:szCs w:val="28"/>
        </w:rPr>
      </w:pPr>
      <w:r w:rsidRPr="00683CBD">
        <w:rPr>
          <w:rFonts w:ascii="Arial" w:hAnsi="Arial" w:cs="Arial"/>
          <w:b/>
          <w:sz w:val="36"/>
          <w:szCs w:val="36"/>
        </w:rPr>
        <w:br w:type="page"/>
      </w:r>
      <w:r w:rsidRPr="00683CBD">
        <w:rPr>
          <w:rFonts w:ascii="Arial" w:hAnsi="Arial" w:cs="Arial"/>
          <w:b/>
          <w:sz w:val="28"/>
          <w:szCs w:val="28"/>
        </w:rPr>
        <w:lastRenderedPageBreak/>
        <w:t>Making our information accessible</w:t>
      </w:r>
    </w:p>
    <w:p w14:paraId="68464FCD" w14:textId="77777777" w:rsidR="00683CBD" w:rsidRPr="00683CBD" w:rsidRDefault="00683CBD" w:rsidP="00683CBD">
      <w:pPr>
        <w:rPr>
          <w:rFonts w:ascii="Arial" w:hAnsi="Arial" w:cs="Arial"/>
          <w:b/>
          <w:sz w:val="28"/>
          <w:szCs w:val="28"/>
        </w:rPr>
      </w:pPr>
    </w:p>
    <w:p w14:paraId="6C7052DF" w14:textId="77777777" w:rsidR="00683CBD" w:rsidRPr="00683CBD" w:rsidRDefault="00683CBD" w:rsidP="00683CBD">
      <w:pPr>
        <w:rPr>
          <w:rFonts w:ascii="Arial" w:hAnsi="Arial" w:cs="Arial"/>
          <w:sz w:val="28"/>
          <w:szCs w:val="28"/>
        </w:rPr>
      </w:pPr>
      <w:r w:rsidRPr="00683CBD">
        <w:rPr>
          <w:rFonts w:ascii="Arial" w:hAnsi="Arial" w:cs="Arial"/>
          <w:sz w:val="28"/>
          <w:szCs w:val="28"/>
        </w:rPr>
        <w:t xml:space="preserve">As an organisation of and for disabled people and older people </w:t>
      </w:r>
      <w:proofErr w:type="spellStart"/>
      <w:r w:rsidRPr="00683CBD">
        <w:rPr>
          <w:rFonts w:ascii="Arial" w:hAnsi="Arial" w:cs="Arial"/>
          <w:sz w:val="28"/>
          <w:szCs w:val="28"/>
        </w:rPr>
        <w:t>Imtac</w:t>
      </w:r>
      <w:proofErr w:type="spellEnd"/>
      <w:r w:rsidRPr="00683CBD">
        <w:rPr>
          <w:rFonts w:ascii="Arial"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14:paraId="2C282854" w14:textId="77777777" w:rsidR="00683CBD" w:rsidRPr="00683CBD" w:rsidRDefault="00683CBD" w:rsidP="00683CBD">
      <w:pPr>
        <w:rPr>
          <w:rFonts w:ascii="Arial" w:hAnsi="Arial" w:cs="Arial"/>
          <w:sz w:val="28"/>
          <w:szCs w:val="28"/>
        </w:rPr>
      </w:pPr>
    </w:p>
    <w:p w14:paraId="1B9FE6F9" w14:textId="77777777" w:rsidR="00683CBD" w:rsidRPr="00683CBD" w:rsidRDefault="00683CBD" w:rsidP="00683CBD">
      <w:pPr>
        <w:rPr>
          <w:rFonts w:ascii="Arial" w:hAnsi="Arial" w:cs="Arial"/>
          <w:sz w:val="28"/>
          <w:szCs w:val="28"/>
        </w:rPr>
      </w:pPr>
      <w:r w:rsidRPr="00683CBD">
        <w:rPr>
          <w:rFonts w:ascii="Arial" w:hAnsi="Arial" w:cs="Arial"/>
          <w:sz w:val="28"/>
          <w:szCs w:val="28"/>
        </w:rPr>
        <w:t xml:space="preserve">All our documents are available in hard copy in 14pt type size as standard.  We also provide word and pdf versions of our documents on our website – </w:t>
      </w:r>
      <w:hyperlink r:id="rId10" w:history="1">
        <w:r w:rsidRPr="00683CBD">
          <w:rPr>
            <w:rStyle w:val="Hyperlink"/>
            <w:rFonts w:ascii="Arial" w:hAnsi="Arial" w:cs="Arial"/>
            <w:sz w:val="28"/>
            <w:szCs w:val="28"/>
          </w:rPr>
          <w:t>www.imtac.org.uk</w:t>
        </w:r>
      </w:hyperlink>
      <w:r w:rsidRPr="00683CBD">
        <w:rPr>
          <w:rFonts w:ascii="Arial" w:hAnsi="Arial" w:cs="Arial"/>
          <w:sz w:val="28"/>
          <w:szCs w:val="28"/>
        </w:rPr>
        <w:t>.  In addition we will provide information in a range of other formats.  These formats include:</w:t>
      </w:r>
    </w:p>
    <w:p w14:paraId="606CAABB" w14:textId="77777777" w:rsidR="00683CBD" w:rsidRPr="00683CBD" w:rsidRDefault="00683CBD" w:rsidP="00683CBD">
      <w:pPr>
        <w:rPr>
          <w:rFonts w:ascii="Arial" w:hAnsi="Arial" w:cs="Arial"/>
          <w:sz w:val="28"/>
          <w:szCs w:val="28"/>
        </w:rPr>
      </w:pPr>
    </w:p>
    <w:p w14:paraId="43DEC4B0" w14:textId="77777777" w:rsidR="00683CBD" w:rsidRPr="00683CBD" w:rsidRDefault="00683CBD" w:rsidP="00683CBD">
      <w:pPr>
        <w:numPr>
          <w:ilvl w:val="0"/>
          <w:numId w:val="2"/>
        </w:numPr>
        <w:rPr>
          <w:rFonts w:ascii="Arial" w:hAnsi="Arial" w:cs="Arial"/>
          <w:sz w:val="28"/>
          <w:szCs w:val="28"/>
        </w:rPr>
      </w:pPr>
      <w:r w:rsidRPr="00683CBD">
        <w:rPr>
          <w:rFonts w:ascii="Arial" w:hAnsi="Arial" w:cs="Arial"/>
          <w:sz w:val="28"/>
          <w:szCs w:val="28"/>
        </w:rPr>
        <w:t>Large print</w:t>
      </w:r>
    </w:p>
    <w:p w14:paraId="542C7E56" w14:textId="77777777" w:rsidR="00683CBD" w:rsidRPr="00683CBD" w:rsidRDefault="00683CBD" w:rsidP="00683CBD">
      <w:pPr>
        <w:numPr>
          <w:ilvl w:val="0"/>
          <w:numId w:val="2"/>
        </w:numPr>
        <w:rPr>
          <w:rFonts w:ascii="Arial" w:hAnsi="Arial" w:cs="Arial"/>
          <w:sz w:val="28"/>
          <w:szCs w:val="28"/>
        </w:rPr>
      </w:pPr>
      <w:r w:rsidRPr="00683CBD">
        <w:rPr>
          <w:rFonts w:ascii="Arial" w:hAnsi="Arial" w:cs="Arial"/>
          <w:sz w:val="28"/>
          <w:szCs w:val="28"/>
        </w:rPr>
        <w:t>Audio cassette or CD</w:t>
      </w:r>
    </w:p>
    <w:p w14:paraId="49F78062" w14:textId="77777777" w:rsidR="00683CBD" w:rsidRPr="00683CBD" w:rsidRDefault="00683CBD" w:rsidP="00683CBD">
      <w:pPr>
        <w:numPr>
          <w:ilvl w:val="0"/>
          <w:numId w:val="2"/>
        </w:numPr>
        <w:rPr>
          <w:rFonts w:ascii="Arial" w:hAnsi="Arial" w:cs="Arial"/>
          <w:sz w:val="28"/>
          <w:szCs w:val="28"/>
        </w:rPr>
      </w:pPr>
      <w:r w:rsidRPr="00683CBD">
        <w:rPr>
          <w:rFonts w:ascii="Arial" w:hAnsi="Arial" w:cs="Arial"/>
          <w:sz w:val="28"/>
          <w:szCs w:val="28"/>
        </w:rPr>
        <w:t>Daisy disc</w:t>
      </w:r>
    </w:p>
    <w:p w14:paraId="370512F5" w14:textId="77777777" w:rsidR="00683CBD" w:rsidRPr="00683CBD" w:rsidRDefault="00683CBD" w:rsidP="00683CBD">
      <w:pPr>
        <w:numPr>
          <w:ilvl w:val="0"/>
          <w:numId w:val="2"/>
        </w:numPr>
        <w:rPr>
          <w:rFonts w:ascii="Arial" w:hAnsi="Arial" w:cs="Arial"/>
          <w:sz w:val="28"/>
          <w:szCs w:val="28"/>
        </w:rPr>
      </w:pPr>
      <w:r w:rsidRPr="00683CBD">
        <w:rPr>
          <w:rFonts w:ascii="Arial" w:hAnsi="Arial" w:cs="Arial"/>
          <w:sz w:val="28"/>
          <w:szCs w:val="28"/>
        </w:rPr>
        <w:t>Braille</w:t>
      </w:r>
    </w:p>
    <w:p w14:paraId="58B5154C" w14:textId="77777777" w:rsidR="00683CBD" w:rsidRPr="00683CBD" w:rsidRDefault="00683CBD" w:rsidP="00683CBD">
      <w:pPr>
        <w:numPr>
          <w:ilvl w:val="0"/>
          <w:numId w:val="2"/>
        </w:numPr>
        <w:rPr>
          <w:rFonts w:ascii="Arial" w:hAnsi="Arial" w:cs="Arial"/>
          <w:sz w:val="28"/>
          <w:szCs w:val="28"/>
        </w:rPr>
      </w:pPr>
      <w:r w:rsidRPr="00683CBD">
        <w:rPr>
          <w:rFonts w:ascii="Arial" w:hAnsi="Arial" w:cs="Arial"/>
          <w:sz w:val="28"/>
          <w:szCs w:val="28"/>
        </w:rPr>
        <w:t>Electronic copies on disc or via email in PDF or word</w:t>
      </w:r>
    </w:p>
    <w:p w14:paraId="35FEEBB6" w14:textId="77777777" w:rsidR="00683CBD" w:rsidRPr="00683CBD" w:rsidRDefault="00683CBD" w:rsidP="00683CBD">
      <w:pPr>
        <w:numPr>
          <w:ilvl w:val="0"/>
          <w:numId w:val="2"/>
        </w:numPr>
        <w:rPr>
          <w:rFonts w:ascii="Arial" w:hAnsi="Arial" w:cs="Arial"/>
          <w:sz w:val="28"/>
          <w:szCs w:val="28"/>
        </w:rPr>
      </w:pPr>
      <w:r w:rsidRPr="00683CBD">
        <w:rPr>
          <w:rFonts w:ascii="Arial" w:hAnsi="Arial" w:cs="Arial"/>
          <w:sz w:val="28"/>
          <w:szCs w:val="28"/>
        </w:rPr>
        <w:t>Easy read</w:t>
      </w:r>
    </w:p>
    <w:p w14:paraId="0FA57C90" w14:textId="77777777" w:rsidR="00683CBD" w:rsidRPr="00683CBD" w:rsidRDefault="00683CBD" w:rsidP="00683CBD">
      <w:pPr>
        <w:numPr>
          <w:ilvl w:val="0"/>
          <w:numId w:val="2"/>
        </w:numPr>
        <w:rPr>
          <w:rFonts w:ascii="Arial" w:hAnsi="Arial" w:cs="Arial"/>
          <w:sz w:val="28"/>
          <w:szCs w:val="28"/>
        </w:rPr>
      </w:pPr>
      <w:r w:rsidRPr="00683CBD">
        <w:rPr>
          <w:rFonts w:ascii="Arial" w:hAnsi="Arial" w:cs="Arial"/>
          <w:sz w:val="28"/>
          <w:szCs w:val="28"/>
        </w:rPr>
        <w:t>Information about our work in other languages</w:t>
      </w:r>
    </w:p>
    <w:p w14:paraId="5AA852D0" w14:textId="77777777" w:rsidR="00683CBD" w:rsidRPr="00683CBD" w:rsidRDefault="00683CBD" w:rsidP="00683CBD">
      <w:pPr>
        <w:rPr>
          <w:rFonts w:ascii="Arial" w:hAnsi="Arial" w:cs="Arial"/>
          <w:sz w:val="28"/>
          <w:szCs w:val="28"/>
        </w:rPr>
      </w:pPr>
    </w:p>
    <w:p w14:paraId="067DDFBD" w14:textId="77777777" w:rsidR="00683CBD" w:rsidRPr="00683CBD" w:rsidRDefault="00683CBD" w:rsidP="00683CBD">
      <w:pPr>
        <w:rPr>
          <w:rFonts w:ascii="Arial" w:hAnsi="Arial" w:cs="Arial"/>
          <w:sz w:val="28"/>
          <w:szCs w:val="28"/>
        </w:rPr>
      </w:pPr>
      <w:r w:rsidRPr="00683CBD">
        <w:rPr>
          <w:rFonts w:ascii="Arial" w:hAnsi="Arial" w:cs="Arial"/>
          <w:sz w:val="28"/>
          <w:szCs w:val="28"/>
        </w:rPr>
        <w:t>If you would like this publication in any of the formats listed above or if you have any other information requirements please contact:</w:t>
      </w:r>
    </w:p>
    <w:p w14:paraId="25FD17E6" w14:textId="77777777" w:rsidR="00683CBD" w:rsidRPr="00683CBD" w:rsidRDefault="00683CBD" w:rsidP="00683CBD">
      <w:pPr>
        <w:rPr>
          <w:rFonts w:ascii="Arial" w:hAnsi="Arial" w:cs="Arial"/>
          <w:sz w:val="28"/>
          <w:szCs w:val="28"/>
        </w:rPr>
      </w:pPr>
    </w:p>
    <w:p w14:paraId="798A9BE8" w14:textId="77777777" w:rsidR="00683CBD" w:rsidRPr="00683CBD" w:rsidRDefault="00683CBD" w:rsidP="00683CBD">
      <w:pPr>
        <w:rPr>
          <w:rFonts w:ascii="Arial" w:hAnsi="Arial" w:cs="Arial"/>
          <w:sz w:val="28"/>
          <w:szCs w:val="28"/>
        </w:rPr>
      </w:pPr>
      <w:r w:rsidRPr="00683CBD">
        <w:rPr>
          <w:rFonts w:ascii="Arial" w:hAnsi="Arial" w:cs="Arial"/>
          <w:sz w:val="28"/>
          <w:szCs w:val="28"/>
        </w:rPr>
        <w:t>Michael Lorimer</w:t>
      </w:r>
    </w:p>
    <w:p w14:paraId="558C0CD0" w14:textId="77777777" w:rsidR="00683CBD" w:rsidRPr="00683CBD" w:rsidRDefault="00683CBD" w:rsidP="00683CBD">
      <w:pPr>
        <w:rPr>
          <w:rFonts w:ascii="Arial" w:hAnsi="Arial" w:cs="Arial"/>
          <w:sz w:val="28"/>
          <w:szCs w:val="28"/>
        </w:rPr>
      </w:pPr>
      <w:proofErr w:type="spellStart"/>
      <w:r w:rsidRPr="00683CBD">
        <w:rPr>
          <w:rFonts w:ascii="Arial" w:hAnsi="Arial" w:cs="Arial"/>
          <w:sz w:val="28"/>
          <w:szCs w:val="28"/>
        </w:rPr>
        <w:t>Imtac</w:t>
      </w:r>
      <w:proofErr w:type="spellEnd"/>
    </w:p>
    <w:p w14:paraId="78D47960" w14:textId="77777777" w:rsidR="00683CBD" w:rsidRPr="00683CBD" w:rsidRDefault="00683CBD" w:rsidP="00683CBD">
      <w:pPr>
        <w:rPr>
          <w:rFonts w:ascii="Arial" w:hAnsi="Arial" w:cs="Arial"/>
          <w:sz w:val="28"/>
          <w:szCs w:val="28"/>
        </w:rPr>
      </w:pPr>
      <w:r w:rsidRPr="00683CBD">
        <w:rPr>
          <w:rFonts w:ascii="Arial" w:hAnsi="Arial" w:cs="Arial"/>
          <w:sz w:val="28"/>
          <w:szCs w:val="28"/>
        </w:rPr>
        <w:t>Titanic Suites</w:t>
      </w:r>
    </w:p>
    <w:p w14:paraId="0A4154B6" w14:textId="46518BB4" w:rsidR="00683CBD" w:rsidRPr="00683CBD" w:rsidRDefault="00DF3937" w:rsidP="00683CBD">
      <w:pPr>
        <w:rPr>
          <w:rFonts w:ascii="Arial" w:hAnsi="Arial" w:cs="Arial"/>
          <w:sz w:val="28"/>
          <w:szCs w:val="28"/>
        </w:rPr>
      </w:pPr>
      <w:r>
        <w:rPr>
          <w:rFonts w:ascii="Arial" w:hAnsi="Arial" w:cs="Arial"/>
          <w:sz w:val="28"/>
          <w:szCs w:val="28"/>
        </w:rPr>
        <w:t>55-59</w:t>
      </w:r>
      <w:r w:rsidR="00683CBD" w:rsidRPr="00683CBD">
        <w:rPr>
          <w:rFonts w:ascii="Arial" w:hAnsi="Arial" w:cs="Arial"/>
          <w:sz w:val="28"/>
          <w:szCs w:val="28"/>
        </w:rPr>
        <w:t xml:space="preserve"> Adelaide Street</w:t>
      </w:r>
    </w:p>
    <w:p w14:paraId="075B6EE9" w14:textId="77777777" w:rsidR="00683CBD" w:rsidRPr="00683CBD" w:rsidRDefault="00683CBD" w:rsidP="00683CBD">
      <w:pPr>
        <w:rPr>
          <w:rFonts w:ascii="Arial" w:hAnsi="Arial" w:cs="Arial"/>
          <w:sz w:val="28"/>
          <w:szCs w:val="28"/>
        </w:rPr>
      </w:pPr>
      <w:proofErr w:type="gramStart"/>
      <w:r w:rsidRPr="00683CBD">
        <w:rPr>
          <w:rFonts w:ascii="Arial" w:hAnsi="Arial" w:cs="Arial"/>
          <w:sz w:val="28"/>
          <w:szCs w:val="28"/>
        </w:rPr>
        <w:t>Belfast  BT2</w:t>
      </w:r>
      <w:proofErr w:type="gramEnd"/>
      <w:r w:rsidRPr="00683CBD">
        <w:rPr>
          <w:rFonts w:ascii="Arial" w:hAnsi="Arial" w:cs="Arial"/>
          <w:sz w:val="28"/>
          <w:szCs w:val="28"/>
        </w:rPr>
        <w:t xml:space="preserve"> 8FE</w:t>
      </w:r>
    </w:p>
    <w:p w14:paraId="59BA9B3D" w14:textId="77777777" w:rsidR="00683CBD" w:rsidRPr="00683CBD" w:rsidRDefault="00683CBD" w:rsidP="00683CBD">
      <w:pPr>
        <w:rPr>
          <w:rFonts w:ascii="Arial" w:hAnsi="Arial" w:cs="Arial"/>
          <w:sz w:val="28"/>
          <w:szCs w:val="28"/>
        </w:rPr>
      </w:pPr>
    </w:p>
    <w:p w14:paraId="66E24EA5" w14:textId="77777777" w:rsidR="00683CBD" w:rsidRPr="00683CBD" w:rsidRDefault="00683CBD" w:rsidP="00683CBD">
      <w:pPr>
        <w:rPr>
          <w:rFonts w:ascii="Arial" w:hAnsi="Arial" w:cs="Arial"/>
          <w:sz w:val="28"/>
          <w:szCs w:val="28"/>
        </w:rPr>
      </w:pPr>
      <w:r w:rsidRPr="00683CBD">
        <w:rPr>
          <w:rFonts w:ascii="Arial" w:hAnsi="Arial" w:cs="Arial"/>
          <w:sz w:val="28"/>
          <w:szCs w:val="28"/>
        </w:rPr>
        <w:t>Telephone/</w:t>
      </w:r>
      <w:proofErr w:type="spellStart"/>
      <w:r w:rsidRPr="00683CBD">
        <w:rPr>
          <w:rFonts w:ascii="Arial" w:hAnsi="Arial" w:cs="Arial"/>
          <w:sz w:val="28"/>
          <w:szCs w:val="28"/>
        </w:rPr>
        <w:t>Textphone</w:t>
      </w:r>
      <w:proofErr w:type="spellEnd"/>
      <w:r w:rsidRPr="00683CBD">
        <w:rPr>
          <w:rFonts w:ascii="Arial" w:hAnsi="Arial" w:cs="Arial"/>
          <w:sz w:val="28"/>
          <w:szCs w:val="28"/>
        </w:rPr>
        <w:t>: 028 9072 6020</w:t>
      </w:r>
    </w:p>
    <w:p w14:paraId="12F007D4" w14:textId="77777777" w:rsidR="00683CBD" w:rsidRPr="00683CBD" w:rsidRDefault="00683CBD" w:rsidP="00683CBD">
      <w:pPr>
        <w:rPr>
          <w:rFonts w:ascii="Arial" w:hAnsi="Arial" w:cs="Arial"/>
          <w:sz w:val="28"/>
          <w:szCs w:val="28"/>
        </w:rPr>
      </w:pPr>
      <w:r w:rsidRPr="00683CBD">
        <w:rPr>
          <w:rFonts w:ascii="Arial" w:hAnsi="Arial" w:cs="Arial"/>
          <w:sz w:val="28"/>
          <w:szCs w:val="28"/>
        </w:rPr>
        <w:t>Email:</w:t>
      </w:r>
      <w:r w:rsidRPr="00683CBD">
        <w:rPr>
          <w:rFonts w:ascii="Arial" w:hAnsi="Arial" w:cs="Arial"/>
          <w:sz w:val="28"/>
          <w:szCs w:val="28"/>
        </w:rPr>
        <w:tab/>
      </w:r>
      <w:hyperlink r:id="rId11" w:history="1">
        <w:r w:rsidRPr="00683CBD">
          <w:rPr>
            <w:rStyle w:val="Hyperlink"/>
            <w:rFonts w:ascii="Arial" w:hAnsi="Arial" w:cs="Arial"/>
            <w:sz w:val="28"/>
            <w:szCs w:val="28"/>
          </w:rPr>
          <w:t>info@imtac.org.uk</w:t>
        </w:r>
      </w:hyperlink>
    </w:p>
    <w:p w14:paraId="1D691B79" w14:textId="77777777" w:rsidR="00683CBD" w:rsidRPr="00683CBD" w:rsidRDefault="00683CBD" w:rsidP="00683CBD">
      <w:pPr>
        <w:rPr>
          <w:rFonts w:ascii="Arial" w:hAnsi="Arial" w:cs="Arial"/>
          <w:sz w:val="28"/>
          <w:szCs w:val="28"/>
        </w:rPr>
      </w:pPr>
      <w:r w:rsidRPr="00683CBD">
        <w:rPr>
          <w:rFonts w:ascii="Arial" w:hAnsi="Arial" w:cs="Arial"/>
          <w:sz w:val="28"/>
          <w:szCs w:val="28"/>
        </w:rPr>
        <w:br w:type="page"/>
      </w:r>
    </w:p>
    <w:p w14:paraId="644FA10F" w14:textId="77777777" w:rsidR="00683CBD" w:rsidRPr="00683CBD" w:rsidRDefault="00683CBD" w:rsidP="00683CBD">
      <w:pPr>
        <w:rPr>
          <w:rFonts w:ascii="Arial" w:hAnsi="Arial" w:cs="Arial"/>
          <w:b/>
          <w:bCs/>
          <w:sz w:val="28"/>
          <w:szCs w:val="28"/>
        </w:rPr>
      </w:pPr>
      <w:r w:rsidRPr="00683CBD">
        <w:rPr>
          <w:rFonts w:ascii="Arial" w:hAnsi="Arial" w:cs="Arial"/>
          <w:b/>
          <w:bCs/>
          <w:sz w:val="28"/>
          <w:szCs w:val="28"/>
        </w:rPr>
        <w:lastRenderedPageBreak/>
        <w:t xml:space="preserve">About </w:t>
      </w:r>
      <w:proofErr w:type="spellStart"/>
      <w:r w:rsidRPr="00683CBD">
        <w:rPr>
          <w:rFonts w:ascii="Arial" w:hAnsi="Arial" w:cs="Arial"/>
          <w:b/>
          <w:bCs/>
          <w:sz w:val="28"/>
          <w:szCs w:val="28"/>
        </w:rPr>
        <w:t>Imtac</w:t>
      </w:r>
      <w:proofErr w:type="spellEnd"/>
    </w:p>
    <w:p w14:paraId="5DE2ADD0" w14:textId="77777777" w:rsidR="00683CBD" w:rsidRPr="00683CBD" w:rsidRDefault="00683CBD" w:rsidP="00683CBD">
      <w:pPr>
        <w:rPr>
          <w:rFonts w:ascii="Arial" w:hAnsi="Arial" w:cs="Arial"/>
          <w:b/>
          <w:sz w:val="28"/>
          <w:szCs w:val="28"/>
        </w:rPr>
      </w:pPr>
    </w:p>
    <w:p w14:paraId="5C32FDF2" w14:textId="77777777" w:rsidR="00683CBD" w:rsidRPr="00683CBD" w:rsidRDefault="00683CBD" w:rsidP="00683CBD">
      <w:pPr>
        <w:rPr>
          <w:rFonts w:ascii="Arial" w:hAnsi="Arial" w:cs="Arial"/>
          <w:sz w:val="28"/>
          <w:szCs w:val="28"/>
        </w:rPr>
      </w:pPr>
      <w:r w:rsidRPr="00683CBD">
        <w:rPr>
          <w:rFonts w:ascii="Arial" w:hAnsi="Arial" w:cs="Arial"/>
          <w:sz w:val="28"/>
          <w:szCs w:val="28"/>
        </w:rPr>
        <w:t>The Inclusive Mobility and Transport Advisory Committee (</w:t>
      </w:r>
      <w:proofErr w:type="spellStart"/>
      <w:r w:rsidRPr="00683CBD">
        <w:rPr>
          <w:rFonts w:ascii="Arial" w:hAnsi="Arial" w:cs="Arial"/>
          <w:sz w:val="28"/>
          <w:szCs w:val="28"/>
        </w:rPr>
        <w:t>Imtac</w:t>
      </w:r>
      <w:proofErr w:type="spellEnd"/>
      <w:r w:rsidRPr="00683CBD">
        <w:rPr>
          <w:rFonts w:ascii="Arial" w:hAnsi="Arial" w:cs="Arial"/>
          <w:sz w:val="28"/>
          <w:szCs w:val="28"/>
        </w:rPr>
        <w:t>) is a committee of disabled people and older people as well as others including key transport professionals.  Its role is to advise Government and others in Northern Ireland on issues that affect the mobility of older people and disabled people.</w:t>
      </w:r>
    </w:p>
    <w:p w14:paraId="2B4510A5" w14:textId="77777777" w:rsidR="00683CBD" w:rsidRPr="00683CBD" w:rsidRDefault="00683CBD" w:rsidP="00683CBD">
      <w:pPr>
        <w:rPr>
          <w:rFonts w:ascii="Arial" w:hAnsi="Arial" w:cs="Arial"/>
          <w:sz w:val="28"/>
          <w:szCs w:val="28"/>
        </w:rPr>
      </w:pPr>
    </w:p>
    <w:p w14:paraId="139C5AB8" w14:textId="77777777" w:rsidR="00683CBD" w:rsidRPr="00683CBD" w:rsidRDefault="00683CBD" w:rsidP="00683CBD">
      <w:pPr>
        <w:rPr>
          <w:rFonts w:ascii="Arial" w:hAnsi="Arial" w:cs="Arial"/>
          <w:sz w:val="28"/>
          <w:szCs w:val="28"/>
        </w:rPr>
      </w:pPr>
      <w:r w:rsidRPr="00683CBD">
        <w:rPr>
          <w:rFonts w:ascii="Arial" w:hAnsi="Arial" w:cs="Arial"/>
          <w:sz w:val="28"/>
          <w:szCs w:val="28"/>
        </w:rPr>
        <w:t>The aim of the Committee is to ensure that older people and disabled people have the same opportunities as everyone else to travel when and where they want.</w:t>
      </w:r>
    </w:p>
    <w:p w14:paraId="7050F0F9" w14:textId="77777777" w:rsidR="00683CBD" w:rsidRPr="00683CBD" w:rsidRDefault="00683CBD" w:rsidP="00683CBD">
      <w:pPr>
        <w:rPr>
          <w:rFonts w:ascii="Arial" w:hAnsi="Arial" w:cs="Arial"/>
          <w:sz w:val="28"/>
          <w:szCs w:val="28"/>
        </w:rPr>
      </w:pPr>
    </w:p>
    <w:p w14:paraId="6C398022" w14:textId="77777777" w:rsidR="00683CBD" w:rsidRPr="00683CBD" w:rsidRDefault="00683CBD" w:rsidP="00683CBD">
      <w:pPr>
        <w:rPr>
          <w:rFonts w:ascii="Arial" w:hAnsi="Arial" w:cs="Arial"/>
          <w:sz w:val="28"/>
          <w:szCs w:val="28"/>
        </w:rPr>
      </w:pPr>
      <w:proofErr w:type="spellStart"/>
      <w:r w:rsidRPr="00683CBD">
        <w:rPr>
          <w:rFonts w:ascii="Arial" w:hAnsi="Arial" w:cs="Arial"/>
          <w:sz w:val="28"/>
          <w:szCs w:val="28"/>
        </w:rPr>
        <w:t>Imtac</w:t>
      </w:r>
      <w:proofErr w:type="spellEnd"/>
      <w:r w:rsidRPr="00683CBD">
        <w:rPr>
          <w:rFonts w:ascii="Arial" w:hAnsi="Arial" w:cs="Arial"/>
          <w:sz w:val="28"/>
          <w:szCs w:val="28"/>
        </w:rPr>
        <w:t xml:space="preserve"> receives support from the Department for Infrastructure (hereafter referred to as the Department).</w:t>
      </w:r>
    </w:p>
    <w:p w14:paraId="74F585F8" w14:textId="77777777" w:rsidR="00683CBD" w:rsidRPr="00683CBD" w:rsidRDefault="00683CBD" w:rsidP="00683CBD">
      <w:pPr>
        <w:rPr>
          <w:rFonts w:ascii="Arial" w:hAnsi="Arial" w:cs="Arial"/>
          <w:sz w:val="28"/>
          <w:szCs w:val="28"/>
        </w:rPr>
      </w:pPr>
    </w:p>
    <w:p w14:paraId="0A217169" w14:textId="77777777" w:rsidR="009E7A5C" w:rsidRPr="00683CBD" w:rsidRDefault="009E7A5C" w:rsidP="00683CBD">
      <w:pPr>
        <w:rPr>
          <w:rFonts w:ascii="Arial" w:hAnsi="Arial" w:cs="Arial"/>
          <w:b/>
          <w:sz w:val="28"/>
          <w:szCs w:val="28"/>
        </w:rPr>
      </w:pPr>
      <w:r>
        <w:rPr>
          <w:rFonts w:ascii="Arial" w:hAnsi="Arial" w:cs="Arial"/>
          <w:b/>
          <w:color w:val="000000"/>
          <w:sz w:val="28"/>
          <w:szCs w:val="28"/>
        </w:rPr>
        <w:t>Background</w:t>
      </w:r>
    </w:p>
    <w:p w14:paraId="4008756D" w14:textId="23BA3678" w:rsidR="004D0790" w:rsidRPr="004D0790" w:rsidRDefault="004D0790" w:rsidP="009E7A5C">
      <w:pPr>
        <w:spacing w:before="240" w:after="240"/>
        <w:rPr>
          <w:rFonts w:ascii="Arial" w:hAnsi="Arial" w:cs="Arial"/>
          <w:color w:val="000000"/>
          <w:sz w:val="28"/>
          <w:szCs w:val="28"/>
        </w:rPr>
      </w:pPr>
      <w:proofErr w:type="spellStart"/>
      <w:r w:rsidRPr="004D0790">
        <w:rPr>
          <w:rFonts w:ascii="Arial" w:hAnsi="Arial" w:cs="Arial"/>
          <w:color w:val="000000"/>
          <w:sz w:val="28"/>
          <w:szCs w:val="28"/>
        </w:rPr>
        <w:t>Imtac</w:t>
      </w:r>
      <w:proofErr w:type="spellEnd"/>
      <w:r w:rsidRPr="004D0790">
        <w:rPr>
          <w:rFonts w:ascii="Arial" w:hAnsi="Arial" w:cs="Arial"/>
          <w:color w:val="000000"/>
          <w:sz w:val="28"/>
          <w:szCs w:val="28"/>
        </w:rPr>
        <w:t xml:space="preserve"> published a</w:t>
      </w:r>
      <w:r w:rsidR="00E017D6">
        <w:rPr>
          <w:rFonts w:ascii="Arial" w:hAnsi="Arial" w:cs="Arial"/>
          <w:color w:val="000000"/>
          <w:sz w:val="28"/>
          <w:szCs w:val="28"/>
        </w:rPr>
        <w:t xml:space="preserve"> statement</w:t>
      </w:r>
      <w:r w:rsidR="00B224A1">
        <w:rPr>
          <w:rStyle w:val="FootnoteReference"/>
          <w:rFonts w:ascii="Arial" w:hAnsi="Arial" w:cs="Arial"/>
          <w:color w:val="000000"/>
          <w:sz w:val="28"/>
          <w:szCs w:val="28"/>
        </w:rPr>
        <w:footnoteReference w:id="1"/>
      </w:r>
      <w:r w:rsidR="00E017D6">
        <w:rPr>
          <w:rFonts w:ascii="Arial" w:hAnsi="Arial" w:cs="Arial"/>
          <w:color w:val="000000"/>
          <w:sz w:val="28"/>
          <w:szCs w:val="28"/>
        </w:rPr>
        <w:t xml:space="preserve"> on shared surface/</w:t>
      </w:r>
      <w:r w:rsidRPr="004D0790">
        <w:rPr>
          <w:rFonts w:ascii="Arial" w:hAnsi="Arial" w:cs="Arial"/>
          <w:color w:val="000000"/>
          <w:sz w:val="28"/>
          <w:szCs w:val="28"/>
        </w:rPr>
        <w:t>space</w:t>
      </w:r>
      <w:r w:rsidR="00E017D6">
        <w:rPr>
          <w:rStyle w:val="FootnoteReference"/>
          <w:rFonts w:ascii="Arial" w:hAnsi="Arial" w:cs="Arial"/>
          <w:color w:val="000000"/>
          <w:sz w:val="28"/>
          <w:szCs w:val="28"/>
        </w:rPr>
        <w:footnoteReference w:id="2"/>
      </w:r>
      <w:r w:rsidRPr="004D0790">
        <w:rPr>
          <w:rFonts w:ascii="Arial" w:hAnsi="Arial" w:cs="Arial"/>
          <w:color w:val="000000"/>
          <w:sz w:val="28"/>
          <w:szCs w:val="28"/>
        </w:rPr>
        <w:t xml:space="preserve"> schemes in 2009. In this statement the Committee highlighted the widespread concerns about the emergence of the shared space concept expressed by disabled people, older people and organisations representing them. </w:t>
      </w:r>
      <w:r w:rsidR="00683CBD">
        <w:rPr>
          <w:rFonts w:ascii="Arial" w:hAnsi="Arial" w:cs="Arial"/>
          <w:color w:val="000000"/>
          <w:sz w:val="28"/>
          <w:szCs w:val="28"/>
        </w:rPr>
        <w:t>The statement called</w:t>
      </w:r>
      <w:r w:rsidRPr="004D0790">
        <w:rPr>
          <w:rFonts w:ascii="Arial" w:hAnsi="Arial" w:cs="Arial"/>
          <w:color w:val="000000"/>
          <w:sz w:val="28"/>
          <w:szCs w:val="28"/>
        </w:rPr>
        <w:t xml:space="preserve"> for a moratorium on </w:t>
      </w:r>
      <w:r w:rsidR="001B204A">
        <w:rPr>
          <w:rFonts w:ascii="Arial" w:hAnsi="Arial" w:cs="Arial"/>
          <w:color w:val="000000"/>
          <w:sz w:val="28"/>
          <w:szCs w:val="28"/>
        </w:rPr>
        <w:t>this type of scheme</w:t>
      </w:r>
      <w:r w:rsidR="004C30DC">
        <w:rPr>
          <w:rFonts w:ascii="Arial" w:hAnsi="Arial" w:cs="Arial"/>
          <w:color w:val="000000"/>
          <w:sz w:val="28"/>
          <w:szCs w:val="28"/>
        </w:rPr>
        <w:t xml:space="preserve"> - </w:t>
      </w:r>
      <w:r>
        <w:rPr>
          <w:rFonts w:ascii="Arial" w:hAnsi="Arial" w:cs="Arial"/>
          <w:color w:val="000000"/>
          <w:sz w:val="28"/>
          <w:szCs w:val="28"/>
        </w:rPr>
        <w:t xml:space="preserve">until such time as it could be demonstrated that </w:t>
      </w:r>
      <w:r w:rsidR="001B204A">
        <w:rPr>
          <w:rFonts w:ascii="Arial" w:hAnsi="Arial" w:cs="Arial"/>
          <w:color w:val="000000"/>
          <w:sz w:val="28"/>
          <w:szCs w:val="28"/>
        </w:rPr>
        <w:t>they</w:t>
      </w:r>
      <w:r>
        <w:rPr>
          <w:rFonts w:ascii="Arial" w:hAnsi="Arial" w:cs="Arial"/>
          <w:color w:val="000000"/>
          <w:sz w:val="28"/>
          <w:szCs w:val="28"/>
        </w:rPr>
        <w:t xml:space="preserve"> are safe and inclusive</w:t>
      </w:r>
      <w:r w:rsidRPr="004D0790">
        <w:rPr>
          <w:rFonts w:ascii="Arial" w:hAnsi="Arial" w:cs="Arial"/>
          <w:color w:val="000000"/>
          <w:sz w:val="28"/>
          <w:szCs w:val="28"/>
        </w:rPr>
        <w:t>.</w:t>
      </w:r>
      <w:r w:rsidR="0094685D">
        <w:rPr>
          <w:rFonts w:ascii="Arial" w:hAnsi="Arial" w:cs="Arial"/>
          <w:color w:val="000000"/>
          <w:sz w:val="28"/>
          <w:szCs w:val="28"/>
        </w:rPr>
        <w:t xml:space="preserve"> </w:t>
      </w:r>
      <w:r w:rsidR="001B204A">
        <w:rPr>
          <w:rFonts w:ascii="Arial" w:hAnsi="Arial" w:cs="Arial"/>
          <w:color w:val="000000"/>
          <w:sz w:val="28"/>
          <w:szCs w:val="28"/>
        </w:rPr>
        <w:t>Since the publication of this</w:t>
      </w:r>
      <w:r>
        <w:rPr>
          <w:rFonts w:ascii="Arial" w:hAnsi="Arial" w:cs="Arial"/>
          <w:color w:val="000000"/>
          <w:sz w:val="28"/>
          <w:szCs w:val="28"/>
        </w:rPr>
        <w:t xml:space="preserve"> </w:t>
      </w:r>
      <w:r w:rsidR="004C30DC">
        <w:rPr>
          <w:rFonts w:ascii="Arial" w:hAnsi="Arial" w:cs="Arial"/>
          <w:color w:val="000000"/>
          <w:sz w:val="28"/>
          <w:szCs w:val="28"/>
        </w:rPr>
        <w:t>2009</w:t>
      </w:r>
      <w:r>
        <w:rPr>
          <w:rFonts w:ascii="Arial" w:hAnsi="Arial" w:cs="Arial"/>
          <w:color w:val="000000"/>
          <w:sz w:val="28"/>
          <w:szCs w:val="28"/>
        </w:rPr>
        <w:t xml:space="preserve"> statement there have been significant developments in relation to shared space. </w:t>
      </w:r>
      <w:r w:rsidR="00C64C19">
        <w:rPr>
          <w:rFonts w:ascii="Arial" w:hAnsi="Arial" w:cs="Arial"/>
          <w:color w:val="000000"/>
          <w:sz w:val="28"/>
          <w:szCs w:val="28"/>
        </w:rPr>
        <w:t xml:space="preserve">Given these developments </w:t>
      </w:r>
      <w:proofErr w:type="spellStart"/>
      <w:r w:rsidR="00C64C19">
        <w:rPr>
          <w:rFonts w:ascii="Arial" w:hAnsi="Arial" w:cs="Arial"/>
          <w:color w:val="000000"/>
          <w:sz w:val="28"/>
          <w:szCs w:val="28"/>
        </w:rPr>
        <w:t>Imtac</w:t>
      </w:r>
      <w:proofErr w:type="spellEnd"/>
      <w:r w:rsidR="00C64C19">
        <w:rPr>
          <w:rFonts w:ascii="Arial" w:hAnsi="Arial" w:cs="Arial"/>
          <w:color w:val="000000"/>
          <w:sz w:val="28"/>
          <w:szCs w:val="28"/>
        </w:rPr>
        <w:t xml:space="preserve"> has decided to refresh and update its statement on </w:t>
      </w:r>
      <w:r w:rsidR="001B204A">
        <w:rPr>
          <w:rFonts w:ascii="Arial" w:hAnsi="Arial" w:cs="Arial"/>
          <w:color w:val="000000"/>
          <w:sz w:val="28"/>
          <w:szCs w:val="28"/>
        </w:rPr>
        <w:t>the subject</w:t>
      </w:r>
      <w:r w:rsidR="00C64C19">
        <w:rPr>
          <w:rFonts w:ascii="Arial" w:hAnsi="Arial" w:cs="Arial"/>
          <w:color w:val="000000"/>
          <w:sz w:val="28"/>
          <w:szCs w:val="28"/>
        </w:rPr>
        <w:t>.</w:t>
      </w:r>
    </w:p>
    <w:p w14:paraId="1F8DBDDA" w14:textId="77777777" w:rsidR="009E7A5C" w:rsidRDefault="009E7A5C" w:rsidP="009E7A5C">
      <w:pPr>
        <w:spacing w:before="240" w:after="240"/>
        <w:ind w:left="720" w:hanging="720"/>
        <w:rPr>
          <w:rFonts w:ascii="Arial" w:hAnsi="Arial" w:cs="Arial"/>
          <w:b/>
          <w:color w:val="000000"/>
          <w:sz w:val="28"/>
          <w:szCs w:val="28"/>
        </w:rPr>
      </w:pPr>
      <w:r>
        <w:rPr>
          <w:rFonts w:ascii="Arial" w:hAnsi="Arial" w:cs="Arial"/>
          <w:b/>
          <w:color w:val="000000"/>
          <w:sz w:val="28"/>
          <w:szCs w:val="28"/>
        </w:rPr>
        <w:t>Statement on shared surfaces</w:t>
      </w:r>
    </w:p>
    <w:p w14:paraId="1BB91336" w14:textId="77777777" w:rsidR="009E7A5C" w:rsidRPr="0094685D" w:rsidRDefault="009E7A5C" w:rsidP="00C64C19">
      <w:pPr>
        <w:rPr>
          <w:rFonts w:ascii="Arial" w:hAnsi="Arial" w:cs="Arial"/>
          <w:color w:val="000000"/>
          <w:sz w:val="28"/>
          <w:szCs w:val="28"/>
        </w:rPr>
      </w:pPr>
      <w:proofErr w:type="spellStart"/>
      <w:r>
        <w:rPr>
          <w:rFonts w:ascii="Arial" w:hAnsi="Arial" w:cs="Arial"/>
          <w:color w:val="000000"/>
          <w:sz w:val="28"/>
          <w:szCs w:val="28"/>
        </w:rPr>
        <w:t>Imtac</w:t>
      </w:r>
      <w:proofErr w:type="spellEnd"/>
      <w:r>
        <w:rPr>
          <w:rFonts w:ascii="Arial" w:hAnsi="Arial" w:cs="Arial"/>
          <w:color w:val="000000"/>
          <w:sz w:val="28"/>
          <w:szCs w:val="28"/>
        </w:rPr>
        <w:t xml:space="preserve"> believes that </w:t>
      </w:r>
      <w:r w:rsidR="00C64C19">
        <w:rPr>
          <w:rFonts w:ascii="Arial" w:hAnsi="Arial" w:cs="Arial"/>
          <w:color w:val="000000"/>
          <w:sz w:val="28"/>
          <w:szCs w:val="28"/>
        </w:rPr>
        <w:t>all</w:t>
      </w:r>
      <w:r>
        <w:rPr>
          <w:rFonts w:ascii="Arial" w:hAnsi="Arial" w:cs="Arial"/>
          <w:color w:val="000000"/>
          <w:sz w:val="28"/>
          <w:szCs w:val="28"/>
        </w:rPr>
        <w:t xml:space="preserve"> public investment in Northern Ireland must take account of accessibility for disabled people and older people.  In relation to transport, accessibility for disabled people and older people should </w:t>
      </w:r>
      <w:r w:rsidR="00EE3572">
        <w:rPr>
          <w:rFonts w:ascii="Arial" w:hAnsi="Arial" w:cs="Arial"/>
          <w:color w:val="000000"/>
          <w:sz w:val="28"/>
          <w:szCs w:val="28"/>
        </w:rPr>
        <w:t>be part of</w:t>
      </w:r>
      <w:r w:rsidR="000D1520">
        <w:rPr>
          <w:rFonts w:ascii="Arial" w:hAnsi="Arial" w:cs="Arial"/>
          <w:color w:val="000000"/>
          <w:sz w:val="28"/>
          <w:szCs w:val="28"/>
        </w:rPr>
        <w:t xml:space="preserve"> the mainstream design of</w:t>
      </w:r>
      <w:r w:rsidR="00EE3572">
        <w:rPr>
          <w:rFonts w:ascii="Arial" w:hAnsi="Arial" w:cs="Arial"/>
          <w:color w:val="000000"/>
          <w:sz w:val="28"/>
          <w:szCs w:val="28"/>
        </w:rPr>
        <w:t xml:space="preserve"> policy, projects and services. </w:t>
      </w:r>
      <w:r w:rsidR="00C64C19">
        <w:rPr>
          <w:rFonts w:ascii="Arial" w:hAnsi="Arial" w:cs="Arial"/>
          <w:sz w:val="28"/>
          <w:szCs w:val="28"/>
        </w:rPr>
        <w:t xml:space="preserve">Both Section 75 of the Northern Ireland Act (1999) and </w:t>
      </w:r>
      <w:r>
        <w:rPr>
          <w:rFonts w:ascii="Arial" w:hAnsi="Arial" w:cs="Arial"/>
          <w:sz w:val="28"/>
          <w:szCs w:val="28"/>
        </w:rPr>
        <w:t xml:space="preserve">The Disability Discrimination (NI) Order 2006 places </w:t>
      </w:r>
      <w:r w:rsidR="00C64C19">
        <w:rPr>
          <w:rFonts w:ascii="Arial" w:hAnsi="Arial" w:cs="Arial"/>
          <w:sz w:val="28"/>
          <w:szCs w:val="28"/>
        </w:rPr>
        <w:t>specific equality duties</w:t>
      </w:r>
      <w:r>
        <w:rPr>
          <w:rFonts w:ascii="Arial" w:hAnsi="Arial" w:cs="Arial"/>
          <w:sz w:val="28"/>
          <w:szCs w:val="28"/>
        </w:rPr>
        <w:t xml:space="preserve"> on every public</w:t>
      </w:r>
      <w:r w:rsidR="00985EAB">
        <w:rPr>
          <w:rFonts w:ascii="Arial" w:hAnsi="Arial" w:cs="Arial"/>
          <w:sz w:val="28"/>
          <w:szCs w:val="28"/>
        </w:rPr>
        <w:t xml:space="preserve"> body in Northern Ireland. This legislation </w:t>
      </w:r>
      <w:r>
        <w:rPr>
          <w:rFonts w:ascii="Arial" w:hAnsi="Arial" w:cs="Arial"/>
          <w:sz w:val="28"/>
          <w:szCs w:val="28"/>
        </w:rPr>
        <w:t>requi</w:t>
      </w:r>
      <w:r w:rsidR="00985EAB">
        <w:rPr>
          <w:rFonts w:ascii="Arial" w:hAnsi="Arial" w:cs="Arial"/>
          <w:sz w:val="28"/>
          <w:szCs w:val="28"/>
        </w:rPr>
        <w:t>res G</w:t>
      </w:r>
      <w:r>
        <w:rPr>
          <w:rFonts w:ascii="Arial" w:hAnsi="Arial" w:cs="Arial"/>
          <w:sz w:val="28"/>
          <w:szCs w:val="28"/>
        </w:rPr>
        <w:t>overnment</w:t>
      </w:r>
      <w:r w:rsidR="00985EAB">
        <w:rPr>
          <w:rFonts w:ascii="Arial" w:hAnsi="Arial" w:cs="Arial"/>
          <w:sz w:val="28"/>
          <w:szCs w:val="28"/>
        </w:rPr>
        <w:t xml:space="preserve"> Departments and local Councils</w:t>
      </w:r>
      <w:r>
        <w:rPr>
          <w:rFonts w:ascii="Arial" w:hAnsi="Arial" w:cs="Arial"/>
          <w:sz w:val="28"/>
          <w:szCs w:val="28"/>
        </w:rPr>
        <w:t xml:space="preserve"> here to use their influence over the built and pedestrian environment to promote equality</w:t>
      </w:r>
      <w:r w:rsidR="00985EAB">
        <w:rPr>
          <w:rFonts w:ascii="Arial" w:hAnsi="Arial" w:cs="Arial"/>
          <w:sz w:val="28"/>
          <w:szCs w:val="28"/>
        </w:rPr>
        <w:t xml:space="preserve"> of opportunity</w:t>
      </w:r>
      <w:r>
        <w:rPr>
          <w:rFonts w:ascii="Arial" w:hAnsi="Arial" w:cs="Arial"/>
          <w:sz w:val="28"/>
          <w:szCs w:val="28"/>
        </w:rPr>
        <w:t xml:space="preserve"> for disabled people</w:t>
      </w:r>
      <w:r w:rsidR="00C64C19">
        <w:rPr>
          <w:rFonts w:ascii="Arial" w:hAnsi="Arial" w:cs="Arial"/>
          <w:sz w:val="28"/>
          <w:szCs w:val="28"/>
        </w:rPr>
        <w:t>, older people and other</w:t>
      </w:r>
      <w:r w:rsidR="00985EAB">
        <w:rPr>
          <w:rFonts w:ascii="Arial" w:hAnsi="Arial" w:cs="Arial"/>
          <w:sz w:val="28"/>
          <w:szCs w:val="28"/>
        </w:rPr>
        <w:t>s</w:t>
      </w:r>
      <w:r w:rsidR="00C64C19">
        <w:rPr>
          <w:rFonts w:ascii="Arial" w:hAnsi="Arial" w:cs="Arial"/>
          <w:sz w:val="28"/>
          <w:szCs w:val="28"/>
        </w:rPr>
        <w:t>. E</w:t>
      </w:r>
      <w:r>
        <w:rPr>
          <w:rFonts w:ascii="Arial" w:hAnsi="Arial" w:cs="Arial"/>
          <w:sz w:val="28"/>
          <w:szCs w:val="28"/>
        </w:rPr>
        <w:t>quality</w:t>
      </w:r>
      <w:r w:rsidR="00C64C19">
        <w:rPr>
          <w:rFonts w:ascii="Arial" w:hAnsi="Arial" w:cs="Arial"/>
          <w:sz w:val="28"/>
          <w:szCs w:val="28"/>
        </w:rPr>
        <w:t xml:space="preserve"> and inclusion</w:t>
      </w:r>
      <w:r>
        <w:rPr>
          <w:rFonts w:ascii="Arial" w:hAnsi="Arial" w:cs="Arial"/>
          <w:sz w:val="28"/>
          <w:szCs w:val="28"/>
        </w:rPr>
        <w:t xml:space="preserve"> must be </w:t>
      </w:r>
      <w:r>
        <w:rPr>
          <w:rFonts w:ascii="Arial" w:hAnsi="Arial" w:cs="Arial"/>
          <w:sz w:val="28"/>
          <w:szCs w:val="28"/>
        </w:rPr>
        <w:lastRenderedPageBreak/>
        <w:t>addressed within government policies and decision making</w:t>
      </w:r>
      <w:r w:rsidR="00985EAB">
        <w:rPr>
          <w:rFonts w:ascii="Arial" w:hAnsi="Arial" w:cs="Arial"/>
          <w:sz w:val="28"/>
          <w:szCs w:val="28"/>
        </w:rPr>
        <w:t>. T</w:t>
      </w:r>
      <w:r>
        <w:rPr>
          <w:rFonts w:ascii="Arial" w:hAnsi="Arial" w:cs="Arial"/>
          <w:sz w:val="28"/>
          <w:szCs w:val="28"/>
        </w:rPr>
        <w:t>he involvement of</w:t>
      </w:r>
      <w:r w:rsidR="00C64C19">
        <w:rPr>
          <w:rFonts w:ascii="Arial" w:hAnsi="Arial" w:cs="Arial"/>
          <w:sz w:val="28"/>
          <w:szCs w:val="28"/>
        </w:rPr>
        <w:t xml:space="preserve"> older people and</w:t>
      </w:r>
      <w:r>
        <w:rPr>
          <w:rFonts w:ascii="Arial" w:hAnsi="Arial" w:cs="Arial"/>
          <w:sz w:val="28"/>
          <w:szCs w:val="28"/>
        </w:rPr>
        <w:t xml:space="preserve"> disabled people in the decision making process is a key requirement of the duty. </w:t>
      </w:r>
    </w:p>
    <w:p w14:paraId="2622CF3E" w14:textId="77777777" w:rsidR="009E7A5C" w:rsidRDefault="009E7A5C" w:rsidP="009E7A5C">
      <w:pPr>
        <w:rPr>
          <w:rFonts w:ascii="Arial" w:hAnsi="Arial" w:cs="Arial"/>
          <w:sz w:val="28"/>
          <w:szCs w:val="28"/>
        </w:rPr>
      </w:pPr>
      <w:r>
        <w:rPr>
          <w:rFonts w:ascii="Arial" w:hAnsi="Arial" w:cs="Arial"/>
          <w:color w:val="000000"/>
          <w:sz w:val="28"/>
          <w:szCs w:val="28"/>
        </w:rPr>
        <w:tab/>
      </w:r>
    </w:p>
    <w:p w14:paraId="20754216" w14:textId="039E281A" w:rsidR="009E7A5C" w:rsidRDefault="009E7A5C" w:rsidP="00C64C19">
      <w:pPr>
        <w:rPr>
          <w:rFonts w:ascii="Arial" w:hAnsi="Arial" w:cs="Arial"/>
          <w:sz w:val="28"/>
          <w:szCs w:val="28"/>
        </w:rPr>
      </w:pPr>
      <w:r>
        <w:rPr>
          <w:rFonts w:ascii="Arial" w:hAnsi="Arial" w:cs="Arial"/>
          <w:sz w:val="28"/>
          <w:szCs w:val="28"/>
        </w:rPr>
        <w:t xml:space="preserve">With the above in mind, </w:t>
      </w:r>
      <w:proofErr w:type="spellStart"/>
      <w:r w:rsidR="00C64C19">
        <w:rPr>
          <w:rFonts w:ascii="Arial" w:hAnsi="Arial" w:cs="Arial"/>
          <w:sz w:val="28"/>
          <w:szCs w:val="28"/>
        </w:rPr>
        <w:t>Imtac</w:t>
      </w:r>
      <w:proofErr w:type="spellEnd"/>
      <w:r w:rsidR="00C64C19">
        <w:rPr>
          <w:rFonts w:ascii="Arial" w:hAnsi="Arial" w:cs="Arial"/>
          <w:sz w:val="28"/>
          <w:szCs w:val="28"/>
        </w:rPr>
        <w:t xml:space="preserve"> has significant concerns</w:t>
      </w:r>
      <w:r>
        <w:rPr>
          <w:rFonts w:ascii="Arial" w:hAnsi="Arial" w:cs="Arial"/>
          <w:sz w:val="28"/>
          <w:szCs w:val="28"/>
        </w:rPr>
        <w:t xml:space="preserve"> about the development </w:t>
      </w:r>
      <w:r w:rsidR="00985EAB">
        <w:rPr>
          <w:rFonts w:ascii="Arial" w:hAnsi="Arial" w:cs="Arial"/>
          <w:sz w:val="28"/>
          <w:szCs w:val="28"/>
        </w:rPr>
        <w:t xml:space="preserve">of proposals </w:t>
      </w:r>
      <w:r w:rsidR="001B204A">
        <w:rPr>
          <w:rFonts w:ascii="Arial" w:hAnsi="Arial" w:cs="Arial"/>
          <w:sz w:val="28"/>
          <w:szCs w:val="28"/>
        </w:rPr>
        <w:t>which incorporate</w:t>
      </w:r>
      <w:r>
        <w:rPr>
          <w:rFonts w:ascii="Arial" w:hAnsi="Arial" w:cs="Arial"/>
          <w:sz w:val="28"/>
          <w:szCs w:val="28"/>
        </w:rPr>
        <w:t xml:space="preserve"> shared </w:t>
      </w:r>
      <w:r w:rsidR="00985EAB">
        <w:rPr>
          <w:rFonts w:ascii="Arial" w:hAnsi="Arial" w:cs="Arial"/>
          <w:sz w:val="28"/>
          <w:szCs w:val="28"/>
        </w:rPr>
        <w:t>space design in streets</w:t>
      </w:r>
      <w:r>
        <w:rPr>
          <w:rFonts w:ascii="Arial" w:hAnsi="Arial" w:cs="Arial"/>
          <w:sz w:val="28"/>
          <w:szCs w:val="28"/>
        </w:rPr>
        <w:t xml:space="preserve"> in Northern Ireland where the kerbed demarcation between pedestrians and vehicles </w:t>
      </w:r>
      <w:r w:rsidR="0094685D">
        <w:rPr>
          <w:rFonts w:ascii="Arial" w:hAnsi="Arial" w:cs="Arial"/>
          <w:sz w:val="28"/>
          <w:szCs w:val="28"/>
        </w:rPr>
        <w:t>is</w:t>
      </w:r>
      <w:r>
        <w:rPr>
          <w:rFonts w:ascii="Arial" w:hAnsi="Arial" w:cs="Arial"/>
          <w:sz w:val="28"/>
          <w:szCs w:val="28"/>
        </w:rPr>
        <w:t xml:space="preserve"> removed</w:t>
      </w:r>
      <w:r w:rsidR="00662FA3">
        <w:rPr>
          <w:rFonts w:ascii="Arial" w:hAnsi="Arial" w:cs="Arial"/>
          <w:sz w:val="28"/>
          <w:szCs w:val="28"/>
        </w:rPr>
        <w:t xml:space="preserve"> or substantially reduced</w:t>
      </w:r>
      <w:r>
        <w:rPr>
          <w:rFonts w:ascii="Arial" w:hAnsi="Arial" w:cs="Arial"/>
          <w:sz w:val="28"/>
          <w:szCs w:val="28"/>
        </w:rPr>
        <w:t xml:space="preserve">. </w:t>
      </w:r>
      <w:r w:rsidR="00E4117A">
        <w:rPr>
          <w:rFonts w:ascii="Arial" w:hAnsi="Arial" w:cs="Arial"/>
          <w:sz w:val="28"/>
          <w:szCs w:val="28"/>
        </w:rPr>
        <w:t>These concerns persist despite the publication in 2011 of</w:t>
      </w:r>
      <w:r w:rsidR="00985EAB">
        <w:rPr>
          <w:rFonts w:ascii="Arial" w:hAnsi="Arial" w:cs="Arial"/>
          <w:sz w:val="28"/>
          <w:szCs w:val="28"/>
        </w:rPr>
        <w:t xml:space="preserve"> </w:t>
      </w:r>
      <w:r w:rsidR="001B204A">
        <w:rPr>
          <w:rFonts w:ascii="Arial" w:hAnsi="Arial" w:cs="Arial"/>
          <w:sz w:val="28"/>
          <w:szCs w:val="28"/>
        </w:rPr>
        <w:t>LTN 1/11 Shared Space guidance</w:t>
      </w:r>
      <w:r w:rsidR="0094685D">
        <w:rPr>
          <w:rStyle w:val="FootnoteReference"/>
          <w:rFonts w:ascii="Arial" w:hAnsi="Arial" w:cs="Arial"/>
          <w:sz w:val="28"/>
          <w:szCs w:val="28"/>
        </w:rPr>
        <w:footnoteReference w:id="3"/>
      </w:r>
      <w:r w:rsidR="0094685D">
        <w:rPr>
          <w:rFonts w:ascii="Arial" w:hAnsi="Arial" w:cs="Arial"/>
          <w:sz w:val="28"/>
          <w:szCs w:val="28"/>
        </w:rPr>
        <w:t xml:space="preserve"> </w:t>
      </w:r>
      <w:r w:rsidR="00985EAB">
        <w:rPr>
          <w:rFonts w:ascii="Arial" w:hAnsi="Arial" w:cs="Arial"/>
          <w:sz w:val="28"/>
          <w:szCs w:val="28"/>
        </w:rPr>
        <w:t xml:space="preserve">from </w:t>
      </w:r>
      <w:r w:rsidR="001B204A">
        <w:rPr>
          <w:rFonts w:ascii="Arial" w:hAnsi="Arial" w:cs="Arial"/>
          <w:sz w:val="28"/>
          <w:szCs w:val="28"/>
        </w:rPr>
        <w:t xml:space="preserve">the </w:t>
      </w:r>
      <w:r w:rsidR="00985EAB">
        <w:rPr>
          <w:rFonts w:ascii="Arial" w:hAnsi="Arial" w:cs="Arial"/>
          <w:sz w:val="28"/>
          <w:szCs w:val="28"/>
        </w:rPr>
        <w:t>D</w:t>
      </w:r>
      <w:r w:rsidR="0094685D">
        <w:rPr>
          <w:rFonts w:ascii="Arial" w:hAnsi="Arial" w:cs="Arial"/>
          <w:sz w:val="28"/>
          <w:szCs w:val="28"/>
        </w:rPr>
        <w:t xml:space="preserve">epartment </w:t>
      </w:r>
      <w:r w:rsidR="00985EAB">
        <w:rPr>
          <w:rFonts w:ascii="Arial" w:hAnsi="Arial" w:cs="Arial"/>
          <w:sz w:val="28"/>
          <w:szCs w:val="28"/>
        </w:rPr>
        <w:t>f</w:t>
      </w:r>
      <w:r w:rsidR="0094685D">
        <w:rPr>
          <w:rFonts w:ascii="Arial" w:hAnsi="Arial" w:cs="Arial"/>
          <w:sz w:val="28"/>
          <w:szCs w:val="28"/>
        </w:rPr>
        <w:t xml:space="preserve">or </w:t>
      </w:r>
      <w:r w:rsidR="00985EAB">
        <w:rPr>
          <w:rFonts w:ascii="Arial" w:hAnsi="Arial" w:cs="Arial"/>
          <w:sz w:val="28"/>
          <w:szCs w:val="28"/>
        </w:rPr>
        <w:t>T</w:t>
      </w:r>
      <w:r w:rsidR="0094685D">
        <w:rPr>
          <w:rFonts w:ascii="Arial" w:hAnsi="Arial" w:cs="Arial"/>
          <w:sz w:val="28"/>
          <w:szCs w:val="28"/>
        </w:rPr>
        <w:t>ransport</w:t>
      </w:r>
      <w:r w:rsidR="00985EAB">
        <w:rPr>
          <w:rFonts w:ascii="Arial" w:hAnsi="Arial" w:cs="Arial"/>
          <w:sz w:val="28"/>
          <w:szCs w:val="28"/>
        </w:rPr>
        <w:t xml:space="preserve"> </w:t>
      </w:r>
      <w:r w:rsidR="000D1520">
        <w:rPr>
          <w:rFonts w:ascii="Arial" w:hAnsi="Arial" w:cs="Arial"/>
          <w:sz w:val="28"/>
          <w:szCs w:val="28"/>
        </w:rPr>
        <w:t>(</w:t>
      </w:r>
      <w:proofErr w:type="spellStart"/>
      <w:r w:rsidR="000D1520">
        <w:rPr>
          <w:rFonts w:ascii="Arial" w:hAnsi="Arial" w:cs="Arial"/>
          <w:sz w:val="28"/>
          <w:szCs w:val="28"/>
        </w:rPr>
        <w:t>DfT</w:t>
      </w:r>
      <w:proofErr w:type="spellEnd"/>
      <w:r w:rsidR="000D1520">
        <w:rPr>
          <w:rFonts w:ascii="Arial" w:hAnsi="Arial" w:cs="Arial"/>
          <w:sz w:val="28"/>
          <w:szCs w:val="28"/>
        </w:rPr>
        <w:t xml:space="preserve">) </w:t>
      </w:r>
      <w:r w:rsidR="00985EAB">
        <w:rPr>
          <w:rFonts w:ascii="Arial" w:hAnsi="Arial" w:cs="Arial"/>
          <w:sz w:val="28"/>
          <w:szCs w:val="28"/>
        </w:rPr>
        <w:t>on</w:t>
      </w:r>
      <w:r w:rsidR="00E4117A">
        <w:rPr>
          <w:rFonts w:ascii="Arial" w:hAnsi="Arial" w:cs="Arial"/>
          <w:sz w:val="28"/>
          <w:szCs w:val="28"/>
        </w:rPr>
        <w:t xml:space="preserve"> the development shared space schemes</w:t>
      </w:r>
      <w:r w:rsidR="002E0ABE">
        <w:rPr>
          <w:rFonts w:ascii="Arial" w:hAnsi="Arial" w:cs="Arial"/>
          <w:sz w:val="28"/>
          <w:szCs w:val="28"/>
        </w:rPr>
        <w:t xml:space="preserve"> and the publication in 2015 of the Director of Engineering Memorandum “Kerb Heights in Public Realm Schemes</w:t>
      </w:r>
      <w:r w:rsidR="002E0ABE">
        <w:rPr>
          <w:rStyle w:val="FootnoteReference"/>
          <w:rFonts w:ascii="Arial" w:hAnsi="Arial" w:cs="Arial"/>
          <w:sz w:val="28"/>
          <w:szCs w:val="28"/>
        </w:rPr>
        <w:footnoteReference w:id="4"/>
      </w:r>
      <w:r w:rsidR="002E0ABE">
        <w:rPr>
          <w:rFonts w:ascii="Arial" w:hAnsi="Arial" w:cs="Arial"/>
          <w:sz w:val="28"/>
          <w:szCs w:val="28"/>
        </w:rPr>
        <w:t>” by the Department for Infrastructure in Northern Ireland.</w:t>
      </w:r>
    </w:p>
    <w:p w14:paraId="4D75012F" w14:textId="77777777" w:rsidR="009E7A5C" w:rsidRDefault="009E7A5C" w:rsidP="009E7A5C">
      <w:pPr>
        <w:autoSpaceDE w:val="0"/>
        <w:autoSpaceDN w:val="0"/>
        <w:adjustRightInd w:val="0"/>
        <w:rPr>
          <w:rFonts w:ascii="Arial" w:hAnsi="Arial" w:cs="Arial"/>
          <w:sz w:val="28"/>
          <w:szCs w:val="28"/>
        </w:rPr>
      </w:pPr>
    </w:p>
    <w:p w14:paraId="1CBB54F3" w14:textId="3C5C065A" w:rsidR="00D409FC" w:rsidRDefault="001B204A" w:rsidP="00E4117A">
      <w:pPr>
        <w:rPr>
          <w:rFonts w:ascii="Arial" w:hAnsi="Arial" w:cs="Arial"/>
          <w:sz w:val="28"/>
          <w:szCs w:val="28"/>
        </w:rPr>
      </w:pPr>
      <w:proofErr w:type="spellStart"/>
      <w:r>
        <w:rPr>
          <w:rFonts w:ascii="Arial" w:hAnsi="Arial" w:cs="Arial"/>
          <w:sz w:val="28"/>
          <w:szCs w:val="28"/>
        </w:rPr>
        <w:t>Imtac’s</w:t>
      </w:r>
      <w:proofErr w:type="spellEnd"/>
      <w:r w:rsidR="00E4117A">
        <w:rPr>
          <w:rFonts w:ascii="Arial" w:hAnsi="Arial" w:cs="Arial"/>
          <w:sz w:val="28"/>
          <w:szCs w:val="28"/>
        </w:rPr>
        <w:t xml:space="preserve"> </w:t>
      </w:r>
      <w:r>
        <w:rPr>
          <w:rFonts w:ascii="Arial" w:hAnsi="Arial" w:cs="Arial"/>
          <w:sz w:val="28"/>
          <w:szCs w:val="28"/>
        </w:rPr>
        <w:t xml:space="preserve">concerns </w:t>
      </w:r>
      <w:r w:rsidR="00E4117A">
        <w:rPr>
          <w:rFonts w:ascii="Arial" w:hAnsi="Arial" w:cs="Arial"/>
          <w:sz w:val="28"/>
          <w:szCs w:val="28"/>
        </w:rPr>
        <w:t>are reflected by wider research undertaken elsewhere into the experiences of older people and disabled people u</w:t>
      </w:r>
      <w:r w:rsidR="00985EAB">
        <w:rPr>
          <w:rFonts w:ascii="Arial" w:hAnsi="Arial" w:cs="Arial"/>
          <w:sz w:val="28"/>
          <w:szCs w:val="28"/>
        </w:rPr>
        <w:t>sing shared space. Earlier research undertaken by Guide Dogs</w:t>
      </w:r>
      <w:r w:rsidR="00662FA3">
        <w:rPr>
          <w:rStyle w:val="FootnoteReference"/>
          <w:rFonts w:ascii="Arial" w:hAnsi="Arial" w:cs="Arial"/>
          <w:sz w:val="28"/>
          <w:szCs w:val="28"/>
        </w:rPr>
        <w:footnoteReference w:id="5"/>
      </w:r>
      <w:r w:rsidR="00D409FC">
        <w:rPr>
          <w:rFonts w:ascii="Arial" w:hAnsi="Arial" w:cs="Arial"/>
          <w:sz w:val="28"/>
          <w:szCs w:val="28"/>
        </w:rPr>
        <w:t xml:space="preserve"> has been supplemented</w:t>
      </w:r>
      <w:r w:rsidR="00985EAB">
        <w:rPr>
          <w:rFonts w:ascii="Arial" w:hAnsi="Arial" w:cs="Arial"/>
          <w:sz w:val="28"/>
          <w:szCs w:val="28"/>
        </w:rPr>
        <w:t xml:space="preserve"> by</w:t>
      </w:r>
      <w:r w:rsidR="00D409FC">
        <w:rPr>
          <w:rFonts w:ascii="Arial" w:hAnsi="Arial" w:cs="Arial"/>
          <w:sz w:val="28"/>
          <w:szCs w:val="28"/>
        </w:rPr>
        <w:t>:</w:t>
      </w:r>
      <w:r w:rsidR="00E4117A">
        <w:rPr>
          <w:rFonts w:ascii="Arial" w:hAnsi="Arial" w:cs="Arial"/>
          <w:sz w:val="28"/>
          <w:szCs w:val="28"/>
        </w:rPr>
        <w:t xml:space="preserve"> </w:t>
      </w:r>
    </w:p>
    <w:p w14:paraId="59B69ED4" w14:textId="77777777" w:rsidR="00D409FC" w:rsidRDefault="00D409FC" w:rsidP="00E4117A">
      <w:pPr>
        <w:rPr>
          <w:rFonts w:ascii="Arial" w:hAnsi="Arial" w:cs="Arial"/>
          <w:sz w:val="28"/>
          <w:szCs w:val="28"/>
        </w:rPr>
      </w:pPr>
    </w:p>
    <w:p w14:paraId="4DF81FD4" w14:textId="77777777" w:rsidR="00D409FC" w:rsidRPr="00D409FC" w:rsidRDefault="00D409FC" w:rsidP="00D409FC">
      <w:pPr>
        <w:pStyle w:val="ListParagraph"/>
        <w:numPr>
          <w:ilvl w:val="0"/>
          <w:numId w:val="3"/>
        </w:numPr>
        <w:rPr>
          <w:rFonts w:ascii="Arial" w:hAnsi="Arial" w:cs="Arial"/>
          <w:sz w:val="28"/>
          <w:szCs w:val="28"/>
        </w:rPr>
      </w:pPr>
      <w:r>
        <w:rPr>
          <w:rFonts w:ascii="Arial" w:hAnsi="Arial" w:cs="Arial"/>
          <w:sz w:val="28"/>
          <w:szCs w:val="28"/>
        </w:rPr>
        <w:t>A</w:t>
      </w:r>
      <w:r w:rsidR="00E4117A" w:rsidRPr="00D409FC">
        <w:rPr>
          <w:rFonts w:ascii="Arial" w:hAnsi="Arial" w:cs="Arial"/>
          <w:sz w:val="28"/>
          <w:szCs w:val="28"/>
        </w:rPr>
        <w:t xml:space="preserve"> survey</w:t>
      </w:r>
      <w:r w:rsidR="00662FA3">
        <w:rPr>
          <w:rStyle w:val="FootnoteReference"/>
          <w:rFonts w:ascii="Arial" w:hAnsi="Arial" w:cs="Arial"/>
          <w:sz w:val="28"/>
          <w:szCs w:val="28"/>
        </w:rPr>
        <w:footnoteReference w:id="6"/>
      </w:r>
      <w:r w:rsidR="00E4117A" w:rsidRPr="00D409FC">
        <w:rPr>
          <w:rFonts w:ascii="Arial" w:hAnsi="Arial" w:cs="Arial"/>
          <w:sz w:val="28"/>
          <w:szCs w:val="28"/>
        </w:rPr>
        <w:t xml:space="preserve"> undertaken Lord Holmes into disabled peoples experiences of using shared space, </w:t>
      </w:r>
    </w:p>
    <w:p w14:paraId="42E9E8AC" w14:textId="77777777" w:rsidR="00D409FC" w:rsidRPr="00D409FC" w:rsidRDefault="00D409FC" w:rsidP="00D409FC">
      <w:pPr>
        <w:pStyle w:val="ListParagraph"/>
        <w:numPr>
          <w:ilvl w:val="0"/>
          <w:numId w:val="3"/>
        </w:numPr>
        <w:rPr>
          <w:rFonts w:ascii="Arial" w:hAnsi="Arial" w:cs="Arial"/>
          <w:sz w:val="28"/>
          <w:szCs w:val="28"/>
        </w:rPr>
      </w:pPr>
      <w:r>
        <w:rPr>
          <w:rFonts w:ascii="Arial" w:hAnsi="Arial" w:cs="Arial"/>
          <w:sz w:val="28"/>
          <w:szCs w:val="28"/>
        </w:rPr>
        <w:t>A</w:t>
      </w:r>
      <w:r w:rsidR="00E4117A" w:rsidRPr="00D409FC">
        <w:rPr>
          <w:rFonts w:ascii="Arial" w:hAnsi="Arial" w:cs="Arial"/>
          <w:sz w:val="28"/>
          <w:szCs w:val="28"/>
        </w:rPr>
        <w:t xml:space="preserve"> House of Lords Select Committee inquiry</w:t>
      </w:r>
      <w:r w:rsidR="00662FA3">
        <w:rPr>
          <w:rStyle w:val="FootnoteReference"/>
          <w:rFonts w:ascii="Arial" w:hAnsi="Arial" w:cs="Arial"/>
          <w:sz w:val="28"/>
          <w:szCs w:val="28"/>
        </w:rPr>
        <w:footnoteReference w:id="7"/>
      </w:r>
      <w:r w:rsidR="00E4117A" w:rsidRPr="00D409FC">
        <w:rPr>
          <w:rFonts w:ascii="Arial" w:hAnsi="Arial" w:cs="Arial"/>
          <w:sz w:val="28"/>
          <w:szCs w:val="28"/>
        </w:rPr>
        <w:t xml:space="preserve"> into the impact of the Equality Act 2010 on disabled people and </w:t>
      </w:r>
    </w:p>
    <w:p w14:paraId="228FF477" w14:textId="77777777" w:rsidR="00D409FC" w:rsidRPr="00D409FC" w:rsidRDefault="00D409FC" w:rsidP="00D409FC">
      <w:pPr>
        <w:pStyle w:val="ListParagraph"/>
        <w:numPr>
          <w:ilvl w:val="0"/>
          <w:numId w:val="3"/>
        </w:numPr>
        <w:rPr>
          <w:rFonts w:ascii="Arial" w:hAnsi="Arial" w:cs="Arial"/>
          <w:sz w:val="28"/>
          <w:szCs w:val="28"/>
        </w:rPr>
      </w:pPr>
      <w:r>
        <w:rPr>
          <w:rFonts w:ascii="Arial" w:hAnsi="Arial" w:cs="Arial"/>
          <w:sz w:val="28"/>
          <w:szCs w:val="28"/>
        </w:rPr>
        <w:t>An</w:t>
      </w:r>
      <w:r w:rsidR="00E4117A" w:rsidRPr="00D409FC">
        <w:rPr>
          <w:rFonts w:ascii="Arial" w:hAnsi="Arial" w:cs="Arial"/>
          <w:sz w:val="28"/>
          <w:szCs w:val="28"/>
        </w:rPr>
        <w:t xml:space="preserve"> inquiry</w:t>
      </w:r>
      <w:r w:rsidR="00662FA3">
        <w:rPr>
          <w:rStyle w:val="FootnoteReference"/>
          <w:rFonts w:ascii="Arial" w:hAnsi="Arial" w:cs="Arial"/>
          <w:sz w:val="28"/>
          <w:szCs w:val="28"/>
        </w:rPr>
        <w:footnoteReference w:id="8"/>
      </w:r>
      <w:r w:rsidR="00E4117A" w:rsidRPr="00D409FC">
        <w:rPr>
          <w:rFonts w:ascii="Arial" w:hAnsi="Arial" w:cs="Arial"/>
          <w:sz w:val="28"/>
          <w:szCs w:val="28"/>
        </w:rPr>
        <w:t xml:space="preserve"> by the House of Commons Women and Equalities Committee into Disability and the Built Environment. </w:t>
      </w:r>
    </w:p>
    <w:p w14:paraId="07A234E1" w14:textId="77777777" w:rsidR="00D409FC" w:rsidRDefault="00D409FC" w:rsidP="00E4117A">
      <w:pPr>
        <w:rPr>
          <w:rFonts w:ascii="Arial" w:hAnsi="Arial" w:cs="Arial"/>
          <w:sz w:val="28"/>
          <w:szCs w:val="28"/>
        </w:rPr>
      </w:pPr>
    </w:p>
    <w:p w14:paraId="74D33F54" w14:textId="784BBB32" w:rsidR="00550414" w:rsidRDefault="00E4117A" w:rsidP="00E4117A">
      <w:pPr>
        <w:rPr>
          <w:rFonts w:ascii="Arial" w:hAnsi="Arial" w:cs="Arial"/>
          <w:sz w:val="28"/>
          <w:szCs w:val="28"/>
        </w:rPr>
      </w:pPr>
      <w:r>
        <w:rPr>
          <w:rFonts w:ascii="Arial" w:hAnsi="Arial" w:cs="Arial"/>
          <w:sz w:val="28"/>
          <w:szCs w:val="28"/>
        </w:rPr>
        <w:t xml:space="preserve">Each of these reports </w:t>
      </w:r>
      <w:r w:rsidR="0094685D">
        <w:rPr>
          <w:rFonts w:ascii="Arial" w:hAnsi="Arial" w:cs="Arial"/>
          <w:sz w:val="28"/>
          <w:szCs w:val="28"/>
        </w:rPr>
        <w:t>highlights</w:t>
      </w:r>
      <w:r>
        <w:rPr>
          <w:rFonts w:ascii="Arial" w:hAnsi="Arial" w:cs="Arial"/>
          <w:sz w:val="28"/>
          <w:szCs w:val="28"/>
        </w:rPr>
        <w:t xml:space="preserve"> the negative impact of shared space on disabled people, older people and others and </w:t>
      </w:r>
      <w:r w:rsidR="0094685D">
        <w:rPr>
          <w:rFonts w:ascii="Arial" w:hAnsi="Arial" w:cs="Arial"/>
          <w:sz w:val="28"/>
          <w:szCs w:val="28"/>
        </w:rPr>
        <w:t>questions</w:t>
      </w:r>
      <w:r>
        <w:rPr>
          <w:rFonts w:ascii="Arial" w:hAnsi="Arial" w:cs="Arial"/>
          <w:sz w:val="28"/>
          <w:szCs w:val="28"/>
        </w:rPr>
        <w:t xml:space="preserve"> the effectiveness of LTN</w:t>
      </w:r>
      <w:r w:rsidR="00550414">
        <w:rPr>
          <w:rFonts w:ascii="Arial" w:hAnsi="Arial" w:cs="Arial"/>
          <w:sz w:val="28"/>
          <w:szCs w:val="28"/>
        </w:rPr>
        <w:t xml:space="preserve"> 1/11</w:t>
      </w:r>
      <w:r w:rsidR="00985EAB">
        <w:rPr>
          <w:rFonts w:ascii="Arial" w:hAnsi="Arial" w:cs="Arial"/>
          <w:sz w:val="28"/>
          <w:szCs w:val="28"/>
        </w:rPr>
        <w:t xml:space="preserve"> in delivering safe and accessible public space</w:t>
      </w:r>
      <w:r w:rsidR="00550414">
        <w:rPr>
          <w:rFonts w:ascii="Arial" w:hAnsi="Arial" w:cs="Arial"/>
          <w:sz w:val="28"/>
          <w:szCs w:val="28"/>
        </w:rPr>
        <w:t>.</w:t>
      </w:r>
      <w:r w:rsidR="0094685D">
        <w:rPr>
          <w:rFonts w:ascii="Arial" w:hAnsi="Arial" w:cs="Arial"/>
          <w:sz w:val="28"/>
          <w:szCs w:val="28"/>
        </w:rPr>
        <w:t xml:space="preserve"> Most recently CIHT published its review</w:t>
      </w:r>
      <w:r w:rsidR="00DF3937">
        <w:rPr>
          <w:rStyle w:val="FootnoteReference"/>
          <w:rFonts w:ascii="Arial" w:hAnsi="Arial" w:cs="Arial"/>
          <w:sz w:val="28"/>
          <w:szCs w:val="28"/>
        </w:rPr>
        <w:footnoteReference w:id="9"/>
      </w:r>
      <w:r w:rsidR="0094685D">
        <w:rPr>
          <w:rFonts w:ascii="Arial" w:hAnsi="Arial" w:cs="Arial"/>
          <w:sz w:val="28"/>
          <w:szCs w:val="28"/>
        </w:rPr>
        <w:t xml:space="preserve"> of shared space. Amongst the recommendations of the review was a need for further research into design and a review of existing guidance.</w:t>
      </w:r>
    </w:p>
    <w:p w14:paraId="67315E11" w14:textId="77777777" w:rsidR="00550414" w:rsidRDefault="00550414" w:rsidP="00E4117A">
      <w:pPr>
        <w:rPr>
          <w:rFonts w:ascii="Arial" w:hAnsi="Arial" w:cs="Arial"/>
          <w:sz w:val="28"/>
          <w:szCs w:val="28"/>
        </w:rPr>
      </w:pPr>
    </w:p>
    <w:p w14:paraId="6BF2A962" w14:textId="5733D30D" w:rsidR="009E7A5C" w:rsidRDefault="00550414" w:rsidP="00E4117A">
      <w:pPr>
        <w:rPr>
          <w:rFonts w:ascii="Arial" w:hAnsi="Arial" w:cs="Arial"/>
          <w:sz w:val="28"/>
          <w:szCs w:val="28"/>
        </w:rPr>
      </w:pPr>
      <w:r>
        <w:rPr>
          <w:rFonts w:ascii="Arial" w:hAnsi="Arial" w:cs="Arial"/>
          <w:sz w:val="28"/>
          <w:szCs w:val="28"/>
        </w:rPr>
        <w:t>In Northern Ireland a public realm scheme in Lisburn</w:t>
      </w:r>
      <w:r w:rsidR="00985EAB">
        <w:rPr>
          <w:rFonts w:ascii="Arial" w:hAnsi="Arial" w:cs="Arial"/>
          <w:sz w:val="28"/>
          <w:szCs w:val="28"/>
        </w:rPr>
        <w:t xml:space="preserve"> incorporating aspects of shared space design</w:t>
      </w:r>
      <w:r>
        <w:rPr>
          <w:rFonts w:ascii="Arial" w:hAnsi="Arial" w:cs="Arial"/>
          <w:sz w:val="28"/>
          <w:szCs w:val="28"/>
        </w:rPr>
        <w:t xml:space="preserve"> has been subject to a judicial review </w:t>
      </w:r>
      <w:r>
        <w:rPr>
          <w:rFonts w:ascii="Arial" w:hAnsi="Arial" w:cs="Arial"/>
          <w:sz w:val="28"/>
          <w:szCs w:val="28"/>
        </w:rPr>
        <w:lastRenderedPageBreak/>
        <w:t>taken by a disabled person. The outcome of the judicial review</w:t>
      </w:r>
      <w:r w:rsidR="001B204A">
        <w:rPr>
          <w:rStyle w:val="FootnoteReference"/>
          <w:rFonts w:ascii="Arial" w:hAnsi="Arial" w:cs="Arial"/>
          <w:sz w:val="28"/>
          <w:szCs w:val="28"/>
        </w:rPr>
        <w:footnoteReference w:id="10"/>
      </w:r>
      <w:r>
        <w:rPr>
          <w:rFonts w:ascii="Arial" w:hAnsi="Arial" w:cs="Arial"/>
          <w:sz w:val="28"/>
          <w:szCs w:val="28"/>
        </w:rPr>
        <w:t xml:space="preserve"> criticised the local </w:t>
      </w:r>
      <w:r w:rsidR="0094685D">
        <w:rPr>
          <w:rFonts w:ascii="Arial" w:hAnsi="Arial" w:cs="Arial"/>
          <w:sz w:val="28"/>
          <w:szCs w:val="28"/>
        </w:rPr>
        <w:t>Council</w:t>
      </w:r>
      <w:r>
        <w:rPr>
          <w:rFonts w:ascii="Arial" w:hAnsi="Arial" w:cs="Arial"/>
          <w:sz w:val="28"/>
          <w:szCs w:val="28"/>
        </w:rPr>
        <w:t xml:space="preserve"> for a lack of cons</w:t>
      </w:r>
      <w:r w:rsidR="001B204A">
        <w:rPr>
          <w:rFonts w:ascii="Arial" w:hAnsi="Arial" w:cs="Arial"/>
          <w:sz w:val="28"/>
          <w:szCs w:val="28"/>
        </w:rPr>
        <w:t>ultation with disabled people when</w:t>
      </w:r>
      <w:r>
        <w:rPr>
          <w:rFonts w:ascii="Arial" w:hAnsi="Arial" w:cs="Arial"/>
          <w:sz w:val="28"/>
          <w:szCs w:val="28"/>
        </w:rPr>
        <w:t xml:space="preserve"> developing the scheme.  </w:t>
      </w:r>
      <w:r w:rsidR="00E4117A">
        <w:rPr>
          <w:rFonts w:ascii="Arial" w:hAnsi="Arial" w:cs="Arial"/>
          <w:sz w:val="28"/>
          <w:szCs w:val="28"/>
        </w:rPr>
        <w:t xml:space="preserve">  </w:t>
      </w:r>
    </w:p>
    <w:p w14:paraId="5759146E" w14:textId="77777777" w:rsidR="009E7A5C" w:rsidRDefault="009E7A5C" w:rsidP="009E7A5C">
      <w:pPr>
        <w:autoSpaceDE w:val="0"/>
        <w:autoSpaceDN w:val="0"/>
        <w:adjustRightInd w:val="0"/>
        <w:rPr>
          <w:rFonts w:ascii="Arial" w:hAnsi="Arial" w:cs="Arial"/>
          <w:sz w:val="28"/>
          <w:szCs w:val="28"/>
        </w:rPr>
      </w:pPr>
    </w:p>
    <w:p w14:paraId="0F71954F" w14:textId="3B81DEDD" w:rsidR="009E7A5C" w:rsidRDefault="0094685D" w:rsidP="007509C5">
      <w:pPr>
        <w:rPr>
          <w:rFonts w:ascii="Arial" w:hAnsi="Arial" w:cs="Arial"/>
          <w:sz w:val="28"/>
          <w:szCs w:val="28"/>
        </w:rPr>
      </w:pPr>
      <w:proofErr w:type="spellStart"/>
      <w:r>
        <w:rPr>
          <w:rFonts w:ascii="Arial" w:hAnsi="Arial" w:cs="Arial"/>
          <w:sz w:val="28"/>
          <w:szCs w:val="28"/>
        </w:rPr>
        <w:t>Imtac</w:t>
      </w:r>
      <w:proofErr w:type="spellEnd"/>
      <w:r w:rsidR="007509C5">
        <w:rPr>
          <w:rFonts w:ascii="Arial" w:hAnsi="Arial" w:cs="Arial"/>
          <w:sz w:val="28"/>
          <w:szCs w:val="28"/>
        </w:rPr>
        <w:t xml:space="preserve"> full</w:t>
      </w:r>
      <w:r>
        <w:rPr>
          <w:rFonts w:ascii="Arial" w:hAnsi="Arial" w:cs="Arial"/>
          <w:sz w:val="28"/>
          <w:szCs w:val="28"/>
        </w:rPr>
        <w:t>y</w:t>
      </w:r>
      <w:r w:rsidR="009E7A5C">
        <w:rPr>
          <w:rFonts w:ascii="Arial" w:hAnsi="Arial" w:cs="Arial"/>
          <w:sz w:val="28"/>
          <w:szCs w:val="28"/>
        </w:rPr>
        <w:t xml:space="preserve"> support</w:t>
      </w:r>
      <w:r w:rsidR="0031793E">
        <w:rPr>
          <w:rFonts w:ascii="Arial" w:hAnsi="Arial" w:cs="Arial"/>
          <w:sz w:val="28"/>
          <w:szCs w:val="28"/>
        </w:rPr>
        <w:t>s</w:t>
      </w:r>
      <w:r w:rsidR="009E7A5C">
        <w:rPr>
          <w:rFonts w:ascii="Arial" w:hAnsi="Arial" w:cs="Arial"/>
          <w:sz w:val="28"/>
          <w:szCs w:val="28"/>
        </w:rPr>
        <w:t xml:space="preserve"> th</w:t>
      </w:r>
      <w:r w:rsidR="001B204A">
        <w:rPr>
          <w:rFonts w:ascii="Arial" w:hAnsi="Arial" w:cs="Arial"/>
          <w:sz w:val="28"/>
          <w:szCs w:val="28"/>
        </w:rPr>
        <w:t xml:space="preserve">e principle of giving </w:t>
      </w:r>
      <w:r w:rsidR="009E7A5C">
        <w:rPr>
          <w:rFonts w:ascii="Arial" w:hAnsi="Arial" w:cs="Arial"/>
          <w:sz w:val="28"/>
          <w:szCs w:val="28"/>
        </w:rPr>
        <w:t>priority to pedestrians over</w:t>
      </w:r>
      <w:r w:rsidR="00412C85">
        <w:rPr>
          <w:rFonts w:ascii="Arial" w:hAnsi="Arial" w:cs="Arial"/>
          <w:sz w:val="28"/>
          <w:szCs w:val="28"/>
        </w:rPr>
        <w:t xml:space="preserve"> other road users</w:t>
      </w:r>
      <w:r w:rsidR="00A1359B">
        <w:rPr>
          <w:rFonts w:ascii="Arial" w:hAnsi="Arial" w:cs="Arial"/>
          <w:sz w:val="28"/>
          <w:szCs w:val="28"/>
        </w:rPr>
        <w:t xml:space="preserve"> (including vehicles and cyclists)</w:t>
      </w:r>
      <w:r w:rsidR="00412C85">
        <w:rPr>
          <w:rFonts w:ascii="Arial" w:hAnsi="Arial" w:cs="Arial"/>
          <w:sz w:val="28"/>
          <w:szCs w:val="28"/>
        </w:rPr>
        <w:t xml:space="preserve"> </w:t>
      </w:r>
      <w:r w:rsidR="009E7A5C">
        <w:rPr>
          <w:rFonts w:ascii="Arial" w:hAnsi="Arial" w:cs="Arial"/>
          <w:sz w:val="28"/>
          <w:szCs w:val="28"/>
        </w:rPr>
        <w:t>in and around our towns and cities.  However, it is vital that the interests of all pedestrians are accommodat</w:t>
      </w:r>
      <w:r w:rsidR="001B204A">
        <w:rPr>
          <w:rFonts w:ascii="Arial" w:hAnsi="Arial" w:cs="Arial"/>
          <w:sz w:val="28"/>
          <w:szCs w:val="28"/>
        </w:rPr>
        <w:t>ed where changes are made. T</w:t>
      </w:r>
      <w:r w:rsidR="009E7A5C">
        <w:rPr>
          <w:rFonts w:ascii="Arial" w:hAnsi="Arial" w:cs="Arial"/>
          <w:sz w:val="28"/>
          <w:szCs w:val="28"/>
        </w:rPr>
        <w:t>herefore</w:t>
      </w:r>
      <w:r w:rsidR="001B204A">
        <w:rPr>
          <w:rFonts w:ascii="Arial" w:hAnsi="Arial" w:cs="Arial"/>
          <w:sz w:val="28"/>
          <w:szCs w:val="28"/>
        </w:rPr>
        <w:t xml:space="preserve">, in line with their obligations under equality duties, </w:t>
      </w:r>
      <w:proofErr w:type="spellStart"/>
      <w:r w:rsidR="001B204A">
        <w:rPr>
          <w:rFonts w:ascii="Arial" w:hAnsi="Arial" w:cs="Arial"/>
          <w:sz w:val="28"/>
          <w:szCs w:val="28"/>
        </w:rPr>
        <w:t>Imtac</w:t>
      </w:r>
      <w:proofErr w:type="spellEnd"/>
      <w:r w:rsidR="009E7A5C">
        <w:rPr>
          <w:rFonts w:ascii="Arial" w:hAnsi="Arial" w:cs="Arial"/>
          <w:sz w:val="28"/>
          <w:szCs w:val="28"/>
        </w:rPr>
        <w:t xml:space="preserve"> expects Government Departments</w:t>
      </w:r>
      <w:r w:rsidR="00412C85">
        <w:rPr>
          <w:rFonts w:ascii="Arial" w:hAnsi="Arial" w:cs="Arial"/>
          <w:sz w:val="28"/>
          <w:szCs w:val="28"/>
        </w:rPr>
        <w:t xml:space="preserve"> and local Councils</w:t>
      </w:r>
      <w:r w:rsidR="009E7A5C">
        <w:rPr>
          <w:rFonts w:ascii="Arial" w:hAnsi="Arial" w:cs="Arial"/>
          <w:sz w:val="28"/>
          <w:szCs w:val="28"/>
        </w:rPr>
        <w:t xml:space="preserve"> here to engage with disabled people and older people and their representative organisations</w:t>
      </w:r>
      <w:r w:rsidR="007509C5">
        <w:rPr>
          <w:rFonts w:ascii="Arial" w:hAnsi="Arial" w:cs="Arial"/>
          <w:sz w:val="28"/>
          <w:szCs w:val="28"/>
        </w:rPr>
        <w:t xml:space="preserve"> at the earliest stage</w:t>
      </w:r>
      <w:r w:rsidR="009E7A5C">
        <w:rPr>
          <w:rFonts w:ascii="Arial" w:hAnsi="Arial" w:cs="Arial"/>
          <w:sz w:val="28"/>
          <w:szCs w:val="28"/>
        </w:rPr>
        <w:t xml:space="preserve"> in the development of </w:t>
      </w:r>
      <w:r w:rsidR="00662FA3">
        <w:rPr>
          <w:rFonts w:ascii="Arial" w:hAnsi="Arial" w:cs="Arial"/>
          <w:sz w:val="28"/>
          <w:szCs w:val="28"/>
        </w:rPr>
        <w:t>public realm</w:t>
      </w:r>
      <w:r w:rsidR="009E7A5C">
        <w:rPr>
          <w:rFonts w:ascii="Arial" w:hAnsi="Arial" w:cs="Arial"/>
          <w:sz w:val="28"/>
          <w:szCs w:val="28"/>
        </w:rPr>
        <w:t xml:space="preserve"> schemes. </w:t>
      </w:r>
    </w:p>
    <w:p w14:paraId="1379A6E8" w14:textId="77777777" w:rsidR="009E7A5C" w:rsidRDefault="009E7A5C" w:rsidP="009E7A5C">
      <w:pPr>
        <w:autoSpaceDE w:val="0"/>
        <w:autoSpaceDN w:val="0"/>
        <w:adjustRightInd w:val="0"/>
        <w:rPr>
          <w:rFonts w:ascii="Arial" w:hAnsi="Arial" w:cs="Arial"/>
          <w:sz w:val="28"/>
          <w:szCs w:val="28"/>
        </w:rPr>
      </w:pPr>
      <w:r>
        <w:rPr>
          <w:rFonts w:ascii="Arial" w:hAnsi="Arial" w:cs="Arial"/>
          <w:sz w:val="28"/>
          <w:szCs w:val="28"/>
        </w:rPr>
        <w:t xml:space="preserve"> </w:t>
      </w:r>
    </w:p>
    <w:p w14:paraId="3D04D664" w14:textId="77777777" w:rsidR="009E7A5C" w:rsidRDefault="00412C85" w:rsidP="007509C5">
      <w:pPr>
        <w:rPr>
          <w:rFonts w:ascii="Arial" w:hAnsi="Arial" w:cs="Arial"/>
          <w:sz w:val="28"/>
          <w:szCs w:val="28"/>
        </w:rPr>
      </w:pPr>
      <w:r>
        <w:rPr>
          <w:rFonts w:ascii="Arial" w:hAnsi="Arial" w:cs="Arial"/>
          <w:sz w:val="28"/>
          <w:szCs w:val="28"/>
        </w:rPr>
        <w:t>The Committee believes</w:t>
      </w:r>
      <w:r w:rsidR="009E7A5C">
        <w:rPr>
          <w:rFonts w:ascii="Arial" w:hAnsi="Arial" w:cs="Arial"/>
          <w:sz w:val="28"/>
          <w:szCs w:val="28"/>
        </w:rPr>
        <w:t xml:space="preserve"> that</w:t>
      </w:r>
      <w:r w:rsidR="00A1359B">
        <w:rPr>
          <w:rFonts w:ascii="Arial" w:hAnsi="Arial" w:cs="Arial"/>
          <w:sz w:val="28"/>
          <w:szCs w:val="28"/>
        </w:rPr>
        <w:t xml:space="preserve"> where</w:t>
      </w:r>
      <w:r w:rsidR="009E7A5C">
        <w:rPr>
          <w:rFonts w:ascii="Arial" w:hAnsi="Arial" w:cs="Arial"/>
          <w:sz w:val="28"/>
          <w:szCs w:val="28"/>
        </w:rPr>
        <w:t xml:space="preserve"> provision for pedestrians is</w:t>
      </w:r>
      <w:r w:rsidR="00A1359B">
        <w:rPr>
          <w:rFonts w:ascii="Arial" w:hAnsi="Arial" w:cs="Arial"/>
          <w:sz w:val="28"/>
          <w:szCs w:val="28"/>
        </w:rPr>
        <w:t xml:space="preserve"> shared with traffic this should be supplemented </w:t>
      </w:r>
      <w:r w:rsidR="009E7A5C">
        <w:rPr>
          <w:rFonts w:ascii="Arial" w:hAnsi="Arial" w:cs="Arial"/>
          <w:sz w:val="28"/>
          <w:szCs w:val="28"/>
        </w:rPr>
        <w:t xml:space="preserve">by </w:t>
      </w:r>
      <w:r w:rsidR="00683CBD">
        <w:rPr>
          <w:rFonts w:ascii="Arial" w:hAnsi="Arial" w:cs="Arial"/>
          <w:sz w:val="28"/>
          <w:szCs w:val="28"/>
        </w:rPr>
        <w:t xml:space="preserve">safe and accessible pedestrian routes, </w:t>
      </w:r>
      <w:r w:rsidR="00A1359B">
        <w:rPr>
          <w:rFonts w:ascii="Arial" w:hAnsi="Arial" w:cs="Arial"/>
          <w:sz w:val="28"/>
          <w:szCs w:val="28"/>
        </w:rPr>
        <w:t xml:space="preserve">separate from areas </w:t>
      </w:r>
      <w:r w:rsidR="009E7A5C">
        <w:rPr>
          <w:rFonts w:ascii="Arial" w:hAnsi="Arial" w:cs="Arial"/>
          <w:sz w:val="28"/>
          <w:szCs w:val="28"/>
        </w:rPr>
        <w:t>used by vehicles</w:t>
      </w:r>
      <w:r>
        <w:rPr>
          <w:rFonts w:ascii="Arial" w:hAnsi="Arial" w:cs="Arial"/>
          <w:sz w:val="28"/>
          <w:szCs w:val="28"/>
        </w:rPr>
        <w:t xml:space="preserve"> and cyclists</w:t>
      </w:r>
      <w:r w:rsidR="009E7A5C">
        <w:rPr>
          <w:rFonts w:ascii="Arial" w:hAnsi="Arial" w:cs="Arial"/>
          <w:color w:val="000000"/>
          <w:sz w:val="28"/>
          <w:szCs w:val="28"/>
        </w:rPr>
        <w:t xml:space="preserve">. </w:t>
      </w:r>
      <w:r>
        <w:rPr>
          <w:rFonts w:ascii="Arial" w:hAnsi="Arial" w:cs="Arial"/>
          <w:sz w:val="28"/>
          <w:szCs w:val="28"/>
        </w:rPr>
        <w:t>U</w:t>
      </w:r>
      <w:r w:rsidR="009E7A5C">
        <w:rPr>
          <w:rFonts w:ascii="Arial" w:hAnsi="Arial" w:cs="Arial"/>
          <w:sz w:val="28"/>
          <w:szCs w:val="28"/>
        </w:rPr>
        <w:t xml:space="preserve">nless and until there is an alternative delineator which through research is demonstrated to be effective, kerbed footways and formalised pedestrian crossing points with appropriate dropped kerbs and tactile paving, </w:t>
      </w:r>
      <w:r w:rsidR="006B7231">
        <w:rPr>
          <w:rFonts w:ascii="Arial" w:hAnsi="Arial" w:cs="Arial"/>
          <w:sz w:val="28"/>
          <w:szCs w:val="28"/>
        </w:rPr>
        <w:t>must</w:t>
      </w:r>
      <w:r w:rsidR="009E7A5C">
        <w:rPr>
          <w:rFonts w:ascii="Arial" w:hAnsi="Arial" w:cs="Arial"/>
          <w:sz w:val="28"/>
          <w:szCs w:val="28"/>
        </w:rPr>
        <w:t xml:space="preserve"> be retained. </w:t>
      </w:r>
    </w:p>
    <w:p w14:paraId="7DA1986F" w14:textId="77777777" w:rsidR="009E7A5C" w:rsidRDefault="009E7A5C" w:rsidP="009E7A5C">
      <w:pPr>
        <w:autoSpaceDE w:val="0"/>
        <w:autoSpaceDN w:val="0"/>
        <w:adjustRightInd w:val="0"/>
        <w:rPr>
          <w:rFonts w:ascii="Arial" w:hAnsi="Arial" w:cs="Arial"/>
          <w:sz w:val="28"/>
          <w:szCs w:val="28"/>
        </w:rPr>
      </w:pPr>
    </w:p>
    <w:p w14:paraId="3B61DFEC" w14:textId="77777777" w:rsidR="009E7A5C" w:rsidRDefault="007509C5" w:rsidP="009E7A5C">
      <w:pPr>
        <w:ind w:left="720" w:hanging="720"/>
        <w:rPr>
          <w:rFonts w:ascii="Arial" w:hAnsi="Arial" w:cs="Arial"/>
          <w:sz w:val="28"/>
          <w:szCs w:val="28"/>
        </w:rPr>
      </w:pPr>
      <w:proofErr w:type="spellStart"/>
      <w:r>
        <w:rPr>
          <w:rFonts w:ascii="Arial" w:hAnsi="Arial" w:cs="Arial"/>
          <w:sz w:val="28"/>
          <w:szCs w:val="28"/>
        </w:rPr>
        <w:t>Imtac</w:t>
      </w:r>
      <w:proofErr w:type="spellEnd"/>
      <w:r w:rsidR="009E7A5C">
        <w:rPr>
          <w:rFonts w:ascii="Arial" w:hAnsi="Arial" w:cs="Arial"/>
          <w:sz w:val="28"/>
          <w:szCs w:val="28"/>
        </w:rPr>
        <w:t xml:space="preserve"> believe</w:t>
      </w:r>
      <w:r>
        <w:rPr>
          <w:rFonts w:ascii="Arial" w:hAnsi="Arial" w:cs="Arial"/>
          <w:sz w:val="28"/>
          <w:szCs w:val="28"/>
        </w:rPr>
        <w:t>s</w:t>
      </w:r>
      <w:r w:rsidR="009E7A5C">
        <w:rPr>
          <w:rFonts w:ascii="Arial" w:hAnsi="Arial" w:cs="Arial"/>
          <w:sz w:val="28"/>
          <w:szCs w:val="28"/>
        </w:rPr>
        <w:t xml:space="preserve"> there are other advantages in retaining the use of kerbs:   </w:t>
      </w:r>
    </w:p>
    <w:p w14:paraId="34D8357B" w14:textId="77777777" w:rsidR="009E7A5C" w:rsidRDefault="009E7A5C" w:rsidP="009E7A5C">
      <w:pPr>
        <w:rPr>
          <w:rFonts w:ascii="Arial" w:hAnsi="Arial" w:cs="Arial"/>
          <w:sz w:val="28"/>
          <w:szCs w:val="28"/>
        </w:rPr>
      </w:pPr>
    </w:p>
    <w:p w14:paraId="658873DE" w14:textId="77777777" w:rsidR="009E7A5C" w:rsidRDefault="009E7A5C" w:rsidP="009E7A5C">
      <w:pPr>
        <w:numPr>
          <w:ilvl w:val="0"/>
          <w:numId w:val="1"/>
        </w:numPr>
        <w:rPr>
          <w:rFonts w:ascii="Arial" w:hAnsi="Arial" w:cs="Arial"/>
          <w:color w:val="000000"/>
          <w:sz w:val="28"/>
          <w:szCs w:val="28"/>
        </w:rPr>
      </w:pPr>
      <w:r>
        <w:rPr>
          <w:rFonts w:ascii="Arial" w:hAnsi="Arial" w:cs="Arial"/>
          <w:color w:val="000000"/>
          <w:sz w:val="28"/>
          <w:szCs w:val="28"/>
        </w:rPr>
        <w:t>Kerbs assist bus operations and are essential to complement the use of low floor buses by facilitating level access at stops</w:t>
      </w:r>
    </w:p>
    <w:p w14:paraId="3ED1F0BA" w14:textId="77777777" w:rsidR="009E7A5C" w:rsidRDefault="009E7A5C" w:rsidP="009E7A5C">
      <w:pPr>
        <w:numPr>
          <w:ilvl w:val="0"/>
          <w:numId w:val="1"/>
        </w:numPr>
        <w:rPr>
          <w:rFonts w:ascii="Arial" w:hAnsi="Arial" w:cs="Arial"/>
          <w:color w:val="000000"/>
          <w:sz w:val="28"/>
          <w:szCs w:val="28"/>
          <w:lang w:val="en"/>
        </w:rPr>
      </w:pPr>
      <w:r>
        <w:rPr>
          <w:rFonts w:ascii="Arial" w:hAnsi="Arial" w:cs="Arial"/>
          <w:sz w:val="28"/>
          <w:szCs w:val="28"/>
        </w:rPr>
        <w:t>Kerbs promote road safety - t</w:t>
      </w:r>
      <w:r>
        <w:rPr>
          <w:rFonts w:ascii="Arial" w:hAnsi="Arial" w:cs="Arial"/>
          <w:sz w:val="28"/>
          <w:szCs w:val="28"/>
          <w:lang w:val="en"/>
        </w:rPr>
        <w:t>he rules in the Highway Code for crossing the road begin “Stop just before you get to the kerb, where you can see if anything is coming. Do not get too close to the traffic.”  This is fundamental to the Green Cross Code taught to children.</w:t>
      </w:r>
    </w:p>
    <w:p w14:paraId="170CEAB0" w14:textId="6F586F4E" w:rsidR="009E7A5C" w:rsidRDefault="009E7A5C" w:rsidP="009E7A5C">
      <w:pPr>
        <w:pStyle w:val="Default"/>
        <w:numPr>
          <w:ilvl w:val="0"/>
          <w:numId w:val="1"/>
        </w:numPr>
        <w:rPr>
          <w:sz w:val="28"/>
          <w:szCs w:val="28"/>
        </w:rPr>
      </w:pPr>
      <w:r>
        <w:rPr>
          <w:sz w:val="28"/>
          <w:szCs w:val="28"/>
        </w:rPr>
        <w:t>Government advice on traffic management emphasises that the traditional distinction between the carriageway and the footway may be important both visually and historically, and cautions against the adoption of a single wall-to-wall surfacing. (</w:t>
      </w:r>
      <w:proofErr w:type="spellStart"/>
      <w:r>
        <w:rPr>
          <w:sz w:val="28"/>
          <w:szCs w:val="28"/>
        </w:rPr>
        <w:t>DfT</w:t>
      </w:r>
      <w:proofErr w:type="spellEnd"/>
      <w:r>
        <w:rPr>
          <w:sz w:val="28"/>
          <w:szCs w:val="28"/>
        </w:rPr>
        <w:t xml:space="preserve"> Traffic Advisory Leaflet 1/96</w:t>
      </w:r>
      <w:r w:rsidR="000432A7">
        <w:rPr>
          <w:rStyle w:val="FootnoteReference"/>
          <w:sz w:val="28"/>
          <w:szCs w:val="28"/>
        </w:rPr>
        <w:footnoteReference w:id="11"/>
      </w:r>
      <w:r>
        <w:rPr>
          <w:sz w:val="28"/>
          <w:szCs w:val="28"/>
        </w:rPr>
        <w:t>)</w:t>
      </w:r>
    </w:p>
    <w:p w14:paraId="6594109E" w14:textId="47C2BE9C" w:rsidR="009E7A5C" w:rsidRDefault="009E7A5C" w:rsidP="009E7A5C">
      <w:pPr>
        <w:numPr>
          <w:ilvl w:val="0"/>
          <w:numId w:val="1"/>
        </w:numPr>
        <w:rPr>
          <w:rFonts w:ascii="Arial" w:hAnsi="Arial" w:cs="Arial"/>
          <w:color w:val="000000"/>
          <w:sz w:val="28"/>
          <w:szCs w:val="28"/>
        </w:rPr>
      </w:pPr>
      <w:r>
        <w:rPr>
          <w:rFonts w:ascii="Arial" w:hAnsi="Arial" w:cs="Arial"/>
          <w:color w:val="000000"/>
          <w:sz w:val="28"/>
          <w:szCs w:val="28"/>
        </w:rPr>
        <w:lastRenderedPageBreak/>
        <w:t xml:space="preserve">Kerbs assist with drainage systems </w:t>
      </w:r>
      <w:r w:rsidR="001B204A">
        <w:rPr>
          <w:rFonts w:ascii="Arial" w:hAnsi="Arial" w:cs="Arial"/>
          <w:color w:val="000000"/>
          <w:sz w:val="28"/>
          <w:szCs w:val="28"/>
        </w:rPr>
        <w:t>which</w:t>
      </w:r>
      <w:r>
        <w:rPr>
          <w:rFonts w:ascii="Arial" w:hAnsi="Arial" w:cs="Arial"/>
          <w:color w:val="000000"/>
          <w:sz w:val="28"/>
          <w:szCs w:val="28"/>
        </w:rPr>
        <w:t xml:space="preserve"> are better able to cope with exceptional rainfall and protect pedestrians than flush surface drainage systems</w:t>
      </w:r>
    </w:p>
    <w:p w14:paraId="7C4E5D74" w14:textId="77777777" w:rsidR="009E7A5C" w:rsidRDefault="009E7A5C" w:rsidP="009E7A5C">
      <w:pPr>
        <w:numPr>
          <w:ilvl w:val="0"/>
          <w:numId w:val="1"/>
        </w:numPr>
        <w:rPr>
          <w:rFonts w:ascii="Arial" w:hAnsi="Arial" w:cs="Arial"/>
          <w:color w:val="000000"/>
          <w:sz w:val="28"/>
          <w:szCs w:val="28"/>
        </w:rPr>
      </w:pPr>
      <w:r>
        <w:rPr>
          <w:rFonts w:ascii="Arial" w:hAnsi="Arial" w:cs="Arial"/>
          <w:color w:val="000000"/>
          <w:sz w:val="28"/>
          <w:szCs w:val="28"/>
        </w:rPr>
        <w:t>Kerbs promote security and deter vehicles from mounting footways</w:t>
      </w:r>
    </w:p>
    <w:p w14:paraId="65642619" w14:textId="77777777" w:rsidR="009E7A5C" w:rsidRDefault="009E7A5C" w:rsidP="009E7A5C">
      <w:pPr>
        <w:rPr>
          <w:rFonts w:ascii="Arial" w:hAnsi="Arial" w:cs="Arial"/>
          <w:color w:val="000000"/>
          <w:sz w:val="28"/>
          <w:szCs w:val="28"/>
        </w:rPr>
      </w:pPr>
    </w:p>
    <w:p w14:paraId="4E1669C5" w14:textId="77777777" w:rsidR="009E7A5C" w:rsidRDefault="009E7A5C" w:rsidP="009E7A5C">
      <w:pPr>
        <w:rPr>
          <w:rFonts w:ascii="Arial" w:hAnsi="Arial" w:cs="Arial"/>
          <w:sz w:val="28"/>
          <w:szCs w:val="28"/>
        </w:rPr>
      </w:pPr>
    </w:p>
    <w:p w14:paraId="4CE4787E" w14:textId="77777777" w:rsidR="00CD503D" w:rsidRDefault="00CD503D" w:rsidP="0091419D">
      <w:pPr>
        <w:rPr>
          <w:rFonts w:ascii="Arial" w:hAnsi="Arial" w:cs="Arial"/>
          <w:sz w:val="28"/>
          <w:szCs w:val="28"/>
        </w:rPr>
      </w:pPr>
      <w:r>
        <w:rPr>
          <w:rFonts w:ascii="Arial" w:hAnsi="Arial" w:cs="Arial"/>
          <w:sz w:val="28"/>
          <w:szCs w:val="28"/>
        </w:rPr>
        <w:t>The following action was included in the</w:t>
      </w:r>
      <w:r w:rsidR="0091419D" w:rsidRPr="0091419D">
        <w:rPr>
          <w:rFonts w:ascii="Arial" w:hAnsi="Arial" w:cs="Arial"/>
          <w:sz w:val="28"/>
          <w:szCs w:val="28"/>
        </w:rPr>
        <w:t xml:space="preserve"> Department for Transport’s recent consultation on an Accessibility Action Plan</w:t>
      </w:r>
      <w:r w:rsidR="00662FA3">
        <w:rPr>
          <w:rStyle w:val="FootnoteReference"/>
          <w:rFonts w:ascii="Arial" w:hAnsi="Arial" w:cs="Arial"/>
          <w:sz w:val="28"/>
          <w:szCs w:val="28"/>
        </w:rPr>
        <w:footnoteReference w:id="12"/>
      </w:r>
      <w:r>
        <w:rPr>
          <w:rFonts w:ascii="Arial" w:hAnsi="Arial" w:cs="Arial"/>
          <w:sz w:val="28"/>
          <w:szCs w:val="28"/>
        </w:rPr>
        <w:t>:</w:t>
      </w:r>
    </w:p>
    <w:p w14:paraId="73EF5003" w14:textId="77777777" w:rsidR="00CD503D" w:rsidRDefault="00CD503D" w:rsidP="0091419D">
      <w:pPr>
        <w:rPr>
          <w:rFonts w:ascii="Arial" w:hAnsi="Arial" w:cs="Arial"/>
          <w:sz w:val="28"/>
          <w:szCs w:val="28"/>
        </w:rPr>
      </w:pPr>
    </w:p>
    <w:p w14:paraId="3EDD85EA" w14:textId="77777777" w:rsidR="00CD503D" w:rsidRPr="00CD503D" w:rsidRDefault="00CD503D" w:rsidP="00CD503D">
      <w:pPr>
        <w:ind w:left="720"/>
        <w:rPr>
          <w:rFonts w:ascii="Arial" w:hAnsi="Arial" w:cs="Arial"/>
          <w:i/>
          <w:sz w:val="28"/>
          <w:szCs w:val="28"/>
        </w:rPr>
      </w:pPr>
      <w:r w:rsidRPr="00CD503D">
        <w:rPr>
          <w:rFonts w:ascii="Arial" w:hAnsi="Arial" w:cs="Arial"/>
          <w:i/>
          <w:sz w:val="28"/>
          <w:szCs w:val="28"/>
        </w:rPr>
        <w:t>“</w:t>
      </w:r>
      <w:r w:rsidR="0091419D" w:rsidRPr="00CD503D">
        <w:rPr>
          <w:rFonts w:ascii="Arial" w:hAnsi="Arial" w:cs="Arial"/>
          <w:i/>
          <w:sz w:val="28"/>
          <w:szCs w:val="28"/>
        </w:rPr>
        <w:t xml:space="preserve"> </w:t>
      </w:r>
      <w:r w:rsidRPr="00CD503D">
        <w:rPr>
          <w:rFonts w:ascii="Arial" w:hAnsi="Arial" w:cs="Arial"/>
          <w:i/>
          <w:sz w:val="28"/>
          <w:szCs w:val="28"/>
        </w:rPr>
        <w:t>We will continue our involvement with CIHT on their work on shared space. After we receive their report by the end of 2017, we will consider the recommendations and announce how we will take them forward.”</w:t>
      </w:r>
    </w:p>
    <w:p w14:paraId="5367418A" w14:textId="77777777" w:rsidR="00CD503D" w:rsidRDefault="00CD503D" w:rsidP="0091419D">
      <w:pPr>
        <w:rPr>
          <w:rFonts w:ascii="Arial" w:hAnsi="Arial" w:cs="Arial"/>
          <w:sz w:val="28"/>
          <w:szCs w:val="28"/>
        </w:rPr>
      </w:pPr>
    </w:p>
    <w:p w14:paraId="3B4A3BAD" w14:textId="77777777" w:rsidR="0091419D" w:rsidRPr="0091419D" w:rsidRDefault="0091419D" w:rsidP="0091419D">
      <w:pPr>
        <w:rPr>
          <w:rFonts w:ascii="Arial" w:hAnsi="Arial" w:cs="Arial"/>
          <w:sz w:val="28"/>
          <w:szCs w:val="28"/>
        </w:rPr>
      </w:pPr>
      <w:r>
        <w:rPr>
          <w:rFonts w:ascii="Arial" w:hAnsi="Arial" w:cs="Arial"/>
          <w:sz w:val="28"/>
          <w:szCs w:val="28"/>
        </w:rPr>
        <w:t xml:space="preserve">Following the publication of the CIHT report, and in light of its recommendations, </w:t>
      </w:r>
      <w:r w:rsidR="00CD503D">
        <w:rPr>
          <w:rFonts w:ascii="Arial" w:hAnsi="Arial" w:cs="Arial"/>
          <w:sz w:val="28"/>
          <w:szCs w:val="28"/>
        </w:rPr>
        <w:t xml:space="preserve">the Committee believes </w:t>
      </w:r>
      <w:proofErr w:type="spellStart"/>
      <w:r>
        <w:rPr>
          <w:rFonts w:ascii="Arial" w:hAnsi="Arial" w:cs="Arial"/>
          <w:sz w:val="28"/>
          <w:szCs w:val="28"/>
        </w:rPr>
        <w:t>DfT</w:t>
      </w:r>
      <w:proofErr w:type="spellEnd"/>
      <w:r>
        <w:rPr>
          <w:rFonts w:ascii="Arial" w:hAnsi="Arial" w:cs="Arial"/>
          <w:sz w:val="28"/>
          <w:szCs w:val="28"/>
        </w:rPr>
        <w:t xml:space="preserve"> must now</w:t>
      </w:r>
      <w:r w:rsidRPr="0091419D">
        <w:rPr>
          <w:rFonts w:ascii="Arial" w:hAnsi="Arial" w:cs="Arial"/>
          <w:sz w:val="28"/>
          <w:szCs w:val="28"/>
        </w:rPr>
        <w:t xml:space="preserve"> consider the need to revise </w:t>
      </w:r>
      <w:r w:rsidR="00662FA3">
        <w:rPr>
          <w:rFonts w:ascii="Arial" w:hAnsi="Arial" w:cs="Arial"/>
          <w:sz w:val="28"/>
          <w:szCs w:val="28"/>
        </w:rPr>
        <w:t>LTN 1/11</w:t>
      </w:r>
      <w:r>
        <w:rPr>
          <w:rFonts w:ascii="Arial" w:hAnsi="Arial" w:cs="Arial"/>
          <w:sz w:val="28"/>
          <w:szCs w:val="28"/>
        </w:rPr>
        <w:t xml:space="preserve"> as a matter of urgency</w:t>
      </w:r>
      <w:r w:rsidRPr="0091419D">
        <w:rPr>
          <w:rFonts w:ascii="Arial" w:hAnsi="Arial" w:cs="Arial"/>
          <w:sz w:val="28"/>
          <w:szCs w:val="28"/>
        </w:rPr>
        <w:t>.</w:t>
      </w:r>
    </w:p>
    <w:p w14:paraId="29E02EF2" w14:textId="77777777" w:rsidR="0091419D" w:rsidRDefault="0091419D" w:rsidP="009E7A5C">
      <w:pPr>
        <w:rPr>
          <w:rFonts w:ascii="Arial" w:hAnsi="Arial" w:cs="Arial"/>
          <w:sz w:val="28"/>
          <w:szCs w:val="28"/>
        </w:rPr>
      </w:pPr>
    </w:p>
    <w:p w14:paraId="1875BE40" w14:textId="58838C46" w:rsidR="009E7A5C" w:rsidRDefault="009E7A5C" w:rsidP="009E7A5C">
      <w:pPr>
        <w:rPr>
          <w:rFonts w:eastAsia="Calibri"/>
        </w:rPr>
      </w:pPr>
      <w:r>
        <w:rPr>
          <w:rFonts w:ascii="Arial" w:hAnsi="Arial" w:cs="Arial"/>
          <w:sz w:val="28"/>
          <w:szCs w:val="28"/>
        </w:rPr>
        <w:t xml:space="preserve">In the meantime, </w:t>
      </w:r>
      <w:proofErr w:type="spellStart"/>
      <w:r>
        <w:rPr>
          <w:rFonts w:ascii="Arial" w:hAnsi="Arial" w:cs="Arial"/>
          <w:sz w:val="28"/>
          <w:szCs w:val="28"/>
        </w:rPr>
        <w:t>Imtac</w:t>
      </w:r>
      <w:proofErr w:type="spellEnd"/>
      <w:r>
        <w:rPr>
          <w:rFonts w:ascii="Arial" w:hAnsi="Arial" w:cs="Arial"/>
          <w:sz w:val="28"/>
          <w:szCs w:val="28"/>
        </w:rPr>
        <w:t xml:space="preserve"> calls on Government Departments in Northern Ireland to be aware of their duties under </w:t>
      </w:r>
      <w:r w:rsidR="007509C5">
        <w:rPr>
          <w:rFonts w:ascii="Arial" w:hAnsi="Arial" w:cs="Arial"/>
          <w:sz w:val="28"/>
          <w:szCs w:val="28"/>
        </w:rPr>
        <w:t xml:space="preserve">Section 75 and </w:t>
      </w:r>
      <w:r>
        <w:rPr>
          <w:rFonts w:ascii="Arial" w:hAnsi="Arial" w:cs="Arial"/>
          <w:sz w:val="28"/>
          <w:szCs w:val="28"/>
        </w:rPr>
        <w:t xml:space="preserve">the Disability Discrimination Order.  </w:t>
      </w:r>
      <w:r w:rsidR="000432A7">
        <w:rPr>
          <w:rFonts w:ascii="Arial" w:hAnsi="Arial" w:cs="Arial"/>
          <w:sz w:val="28"/>
          <w:szCs w:val="28"/>
        </w:rPr>
        <w:t>It</w:t>
      </w:r>
      <w:r>
        <w:rPr>
          <w:rFonts w:ascii="Arial" w:hAnsi="Arial" w:cs="Arial"/>
          <w:sz w:val="28"/>
          <w:szCs w:val="28"/>
        </w:rPr>
        <w:t xml:space="preserve"> ask</w:t>
      </w:r>
      <w:r w:rsidR="007509C5">
        <w:rPr>
          <w:rFonts w:ascii="Arial" w:hAnsi="Arial" w:cs="Arial"/>
          <w:sz w:val="28"/>
          <w:szCs w:val="28"/>
        </w:rPr>
        <w:t>s</w:t>
      </w:r>
      <w:r>
        <w:rPr>
          <w:rFonts w:ascii="Arial" w:hAnsi="Arial" w:cs="Arial"/>
          <w:sz w:val="28"/>
          <w:szCs w:val="28"/>
        </w:rPr>
        <w:t xml:space="preserve"> them no</w:t>
      </w:r>
      <w:r w:rsidR="0091419D">
        <w:rPr>
          <w:rFonts w:ascii="Arial" w:hAnsi="Arial" w:cs="Arial"/>
          <w:sz w:val="28"/>
          <w:szCs w:val="28"/>
        </w:rPr>
        <w:t>t to create town centres, s</w:t>
      </w:r>
      <w:r>
        <w:rPr>
          <w:rFonts w:ascii="Arial" w:hAnsi="Arial" w:cs="Arial"/>
          <w:sz w:val="28"/>
          <w:szCs w:val="28"/>
        </w:rPr>
        <w:t xml:space="preserve">treets and residential areas with shared </w:t>
      </w:r>
      <w:r w:rsidR="0091419D">
        <w:rPr>
          <w:rFonts w:ascii="Arial" w:hAnsi="Arial" w:cs="Arial"/>
          <w:sz w:val="28"/>
          <w:szCs w:val="28"/>
        </w:rPr>
        <w:t>space</w:t>
      </w:r>
      <w:r>
        <w:rPr>
          <w:rFonts w:ascii="Arial" w:hAnsi="Arial" w:cs="Arial"/>
          <w:sz w:val="28"/>
          <w:szCs w:val="28"/>
        </w:rPr>
        <w:t xml:space="preserve"> that discriminate against blind and partially sighted and other disabled people, effectively excluding them from the street environment. </w:t>
      </w:r>
      <w:r w:rsidR="000432A7">
        <w:rPr>
          <w:rFonts w:ascii="Arial" w:hAnsi="Arial" w:cs="Arial"/>
          <w:sz w:val="28"/>
          <w:szCs w:val="28"/>
        </w:rPr>
        <w:t>Furthermore, u</w:t>
      </w:r>
      <w:r>
        <w:rPr>
          <w:rFonts w:ascii="Arial" w:hAnsi="Arial" w:cs="Arial"/>
          <w:sz w:val="28"/>
          <w:szCs w:val="28"/>
        </w:rPr>
        <w:t xml:space="preserve">ntil there is an acceptable alternative delineator, </w:t>
      </w:r>
      <w:proofErr w:type="spellStart"/>
      <w:r w:rsidR="0091419D">
        <w:rPr>
          <w:rFonts w:ascii="Arial" w:hAnsi="Arial" w:cs="Arial"/>
          <w:sz w:val="28"/>
          <w:szCs w:val="28"/>
        </w:rPr>
        <w:t>Imtac</w:t>
      </w:r>
      <w:proofErr w:type="spellEnd"/>
      <w:r>
        <w:rPr>
          <w:rFonts w:ascii="Arial" w:hAnsi="Arial" w:cs="Arial"/>
          <w:sz w:val="28"/>
          <w:szCs w:val="28"/>
        </w:rPr>
        <w:t xml:space="preserve"> </w:t>
      </w:r>
      <w:r w:rsidR="0091419D">
        <w:rPr>
          <w:rFonts w:ascii="Arial" w:hAnsi="Arial" w:cs="Arial"/>
          <w:sz w:val="28"/>
          <w:szCs w:val="28"/>
        </w:rPr>
        <w:t>calls for</w:t>
      </w:r>
      <w:r>
        <w:rPr>
          <w:rFonts w:ascii="Arial" w:hAnsi="Arial" w:cs="Arial"/>
          <w:sz w:val="28"/>
          <w:szCs w:val="28"/>
        </w:rPr>
        <w:t xml:space="preserve"> the retention of kerbed footways</w:t>
      </w:r>
      <w:r w:rsidR="002E0ABE">
        <w:rPr>
          <w:rFonts w:ascii="Arial" w:hAnsi="Arial" w:cs="Arial"/>
          <w:sz w:val="28"/>
          <w:szCs w:val="28"/>
        </w:rPr>
        <w:t xml:space="preserve"> (line with DEM 154/15) </w:t>
      </w:r>
      <w:r>
        <w:rPr>
          <w:rFonts w:ascii="Arial" w:hAnsi="Arial" w:cs="Arial"/>
          <w:sz w:val="28"/>
          <w:szCs w:val="28"/>
        </w:rPr>
        <w:t xml:space="preserve">with dropped kerbs at appropriate crossing points as an essential element of </w:t>
      </w:r>
      <w:r w:rsidR="00662FA3">
        <w:rPr>
          <w:rFonts w:ascii="Arial" w:hAnsi="Arial" w:cs="Arial"/>
          <w:sz w:val="28"/>
          <w:szCs w:val="28"/>
        </w:rPr>
        <w:t>public realm</w:t>
      </w:r>
      <w:r>
        <w:rPr>
          <w:rFonts w:ascii="Arial" w:hAnsi="Arial" w:cs="Arial"/>
          <w:sz w:val="28"/>
          <w:szCs w:val="28"/>
        </w:rPr>
        <w:t xml:space="preserve"> in shared </w:t>
      </w:r>
      <w:r w:rsidR="0091419D">
        <w:rPr>
          <w:rFonts w:ascii="Arial" w:hAnsi="Arial" w:cs="Arial"/>
          <w:sz w:val="28"/>
          <w:szCs w:val="28"/>
        </w:rPr>
        <w:t>space design</w:t>
      </w:r>
      <w:r>
        <w:rPr>
          <w:rFonts w:ascii="Arial" w:hAnsi="Arial" w:cs="Arial"/>
          <w:sz w:val="28"/>
          <w:szCs w:val="28"/>
        </w:rPr>
        <w:t>.</w:t>
      </w:r>
      <w:r>
        <w:rPr>
          <w:rFonts w:eastAsia="Calibri"/>
        </w:rPr>
        <w:t xml:space="preserve"> </w:t>
      </w:r>
    </w:p>
    <w:p w14:paraId="781069E6" w14:textId="77777777" w:rsidR="002A36D4" w:rsidRDefault="002A36D4"/>
    <w:sectPr w:rsidR="002A36D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BD8B0" w14:textId="77777777" w:rsidR="004A2713" w:rsidRDefault="004A2713" w:rsidP="009E7A5C">
      <w:r>
        <w:separator/>
      </w:r>
    </w:p>
  </w:endnote>
  <w:endnote w:type="continuationSeparator" w:id="0">
    <w:p w14:paraId="3C0360DF" w14:textId="77777777" w:rsidR="004A2713" w:rsidRDefault="004A2713" w:rsidP="009E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762645"/>
      <w:docPartObj>
        <w:docPartGallery w:val="Page Numbers (Bottom of Page)"/>
        <w:docPartUnique/>
      </w:docPartObj>
    </w:sdtPr>
    <w:sdtEndPr>
      <w:rPr>
        <w:noProof/>
      </w:rPr>
    </w:sdtEndPr>
    <w:sdtContent>
      <w:p w14:paraId="45481BEF" w14:textId="77777777" w:rsidR="000D1520" w:rsidRDefault="000D1520">
        <w:pPr>
          <w:pStyle w:val="Footer"/>
          <w:jc w:val="center"/>
        </w:pPr>
        <w:r>
          <w:fldChar w:fldCharType="begin"/>
        </w:r>
        <w:r>
          <w:instrText xml:space="preserve"> PAGE   \* MERGEFORMAT </w:instrText>
        </w:r>
        <w:r>
          <w:fldChar w:fldCharType="separate"/>
        </w:r>
        <w:r w:rsidR="00FC7656">
          <w:rPr>
            <w:noProof/>
          </w:rPr>
          <w:t>1</w:t>
        </w:r>
        <w:r>
          <w:rPr>
            <w:noProof/>
          </w:rPr>
          <w:fldChar w:fldCharType="end"/>
        </w:r>
      </w:p>
    </w:sdtContent>
  </w:sdt>
  <w:p w14:paraId="7A648234" w14:textId="77777777" w:rsidR="000D1520" w:rsidRDefault="000D1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0DD42" w14:textId="77777777" w:rsidR="004A2713" w:rsidRDefault="004A2713" w:rsidP="009E7A5C">
      <w:r>
        <w:separator/>
      </w:r>
    </w:p>
  </w:footnote>
  <w:footnote w:type="continuationSeparator" w:id="0">
    <w:p w14:paraId="24584418" w14:textId="77777777" w:rsidR="004A2713" w:rsidRDefault="004A2713" w:rsidP="009E7A5C">
      <w:r>
        <w:continuationSeparator/>
      </w:r>
    </w:p>
  </w:footnote>
  <w:footnote w:id="1">
    <w:p w14:paraId="704A231C" w14:textId="77777777" w:rsidR="000D1520" w:rsidRPr="00B224A1" w:rsidRDefault="000D1520">
      <w:pPr>
        <w:pStyle w:val="FootnoteText"/>
        <w:rPr>
          <w:lang w:val="en-US"/>
        </w:rPr>
      </w:pPr>
      <w:r>
        <w:rPr>
          <w:rStyle w:val="FootnoteReference"/>
        </w:rPr>
        <w:footnoteRef/>
      </w:r>
      <w:r>
        <w:t xml:space="preserve"> </w:t>
      </w:r>
      <w:hyperlink r:id="rId1" w:history="1">
        <w:r w:rsidRPr="00AB4393">
          <w:rPr>
            <w:rStyle w:val="Hyperlink"/>
          </w:rPr>
          <w:t>https://www.imtac.org.uk/publications/imtac-statement-shared-surface-streets</w:t>
        </w:r>
      </w:hyperlink>
      <w:r>
        <w:t xml:space="preserve"> </w:t>
      </w:r>
    </w:p>
  </w:footnote>
  <w:footnote w:id="2">
    <w:p w14:paraId="6731D06C" w14:textId="77777777" w:rsidR="000D1520" w:rsidRDefault="000D1520">
      <w:pPr>
        <w:pStyle w:val="FootnoteText"/>
      </w:pPr>
      <w:r>
        <w:rPr>
          <w:rStyle w:val="FootnoteReference"/>
        </w:rPr>
        <w:footnoteRef/>
      </w:r>
      <w:r>
        <w:t xml:space="preserve"> In the 2009 statement </w:t>
      </w:r>
      <w:proofErr w:type="spellStart"/>
      <w:r>
        <w:t>Imtac</w:t>
      </w:r>
      <w:proofErr w:type="spellEnd"/>
      <w:r>
        <w:t xml:space="preserve"> used the term shared surface street. This was because shared space has a particular meaning in Northern Ireland. In revising the statement the Committee has decided to revert to the term shared space.</w:t>
      </w:r>
    </w:p>
  </w:footnote>
  <w:footnote w:id="3">
    <w:p w14:paraId="7D15A4C2" w14:textId="77777777" w:rsidR="000D1520" w:rsidRPr="0094685D" w:rsidRDefault="000D1520">
      <w:pPr>
        <w:pStyle w:val="FootnoteText"/>
        <w:rPr>
          <w:lang w:val="en-US"/>
        </w:rPr>
      </w:pPr>
      <w:r>
        <w:rPr>
          <w:rStyle w:val="FootnoteReference"/>
        </w:rPr>
        <w:footnoteRef/>
      </w:r>
      <w:r>
        <w:t xml:space="preserve"> </w:t>
      </w:r>
      <w:hyperlink r:id="rId2" w:history="1">
        <w:r>
          <w:rPr>
            <w:rStyle w:val="Hyperlink"/>
          </w:rPr>
          <w:t>LTN 1/11 Shared Space</w:t>
        </w:r>
      </w:hyperlink>
      <w:r>
        <w:t xml:space="preserve"> </w:t>
      </w:r>
    </w:p>
  </w:footnote>
  <w:footnote w:id="4">
    <w:p w14:paraId="18A551D0" w14:textId="2D7087B4" w:rsidR="002E0ABE" w:rsidRDefault="002E0ABE">
      <w:pPr>
        <w:pStyle w:val="FootnoteText"/>
      </w:pPr>
      <w:r>
        <w:rPr>
          <w:rStyle w:val="FootnoteReference"/>
        </w:rPr>
        <w:footnoteRef/>
      </w:r>
      <w:r>
        <w:t xml:space="preserve"> </w:t>
      </w:r>
      <w:hyperlink r:id="rId3" w:history="1">
        <w:r>
          <w:rPr>
            <w:rStyle w:val="Hyperlink"/>
          </w:rPr>
          <w:t>DEM 154/15 Kerb Heights in Public Realm Schemes</w:t>
        </w:r>
      </w:hyperlink>
      <w:r>
        <w:t xml:space="preserve"> </w:t>
      </w:r>
    </w:p>
  </w:footnote>
  <w:footnote w:id="5">
    <w:p w14:paraId="425EAB66" w14:textId="77777777" w:rsidR="000D1520" w:rsidRDefault="000D1520">
      <w:pPr>
        <w:pStyle w:val="FootnoteText"/>
      </w:pPr>
      <w:r>
        <w:rPr>
          <w:rStyle w:val="FootnoteReference"/>
        </w:rPr>
        <w:footnoteRef/>
      </w:r>
      <w:r>
        <w:t xml:space="preserve"> </w:t>
      </w:r>
      <w:hyperlink r:id="rId4" w:history="1">
        <w:r>
          <w:rPr>
            <w:rStyle w:val="Hyperlink"/>
          </w:rPr>
          <w:t>The impact of shared surface streets and shared pedestrian/cycle paths on the mobility and independence of blind and partially sighted people</w:t>
        </w:r>
      </w:hyperlink>
      <w:r>
        <w:t xml:space="preserve"> </w:t>
      </w:r>
    </w:p>
  </w:footnote>
  <w:footnote w:id="6">
    <w:p w14:paraId="44E24AE3" w14:textId="77777777" w:rsidR="000D1520" w:rsidRDefault="000D1520">
      <w:pPr>
        <w:pStyle w:val="FootnoteText"/>
      </w:pPr>
      <w:r>
        <w:rPr>
          <w:rStyle w:val="FootnoteReference"/>
        </w:rPr>
        <w:footnoteRef/>
      </w:r>
      <w:r>
        <w:t xml:space="preserve"> </w:t>
      </w:r>
      <w:hyperlink r:id="rId5" w:history="1">
        <w:r>
          <w:rPr>
            <w:rStyle w:val="Hyperlink"/>
          </w:rPr>
          <w:t>Accidents by Design: The Holmes report on "shared space" in the United Kingdom</w:t>
        </w:r>
      </w:hyperlink>
      <w:r>
        <w:t xml:space="preserve"> </w:t>
      </w:r>
    </w:p>
  </w:footnote>
  <w:footnote w:id="7">
    <w:p w14:paraId="385FB058" w14:textId="77777777" w:rsidR="000D1520" w:rsidRDefault="000D1520">
      <w:pPr>
        <w:pStyle w:val="FootnoteText"/>
      </w:pPr>
      <w:r>
        <w:rPr>
          <w:rStyle w:val="FootnoteReference"/>
        </w:rPr>
        <w:footnoteRef/>
      </w:r>
      <w:r>
        <w:t xml:space="preserve"> </w:t>
      </w:r>
      <w:hyperlink r:id="rId6" w:history="1">
        <w:r>
          <w:rPr>
            <w:rStyle w:val="Hyperlink"/>
          </w:rPr>
          <w:t>The Equality Act 2010: the impact on disabled people</w:t>
        </w:r>
      </w:hyperlink>
      <w:r>
        <w:t xml:space="preserve"> </w:t>
      </w:r>
    </w:p>
  </w:footnote>
  <w:footnote w:id="8">
    <w:p w14:paraId="49FCFD8E" w14:textId="77777777" w:rsidR="000D1520" w:rsidRDefault="000D1520">
      <w:pPr>
        <w:pStyle w:val="FootnoteText"/>
      </w:pPr>
      <w:r>
        <w:rPr>
          <w:rStyle w:val="FootnoteReference"/>
        </w:rPr>
        <w:footnoteRef/>
      </w:r>
      <w:r>
        <w:t xml:space="preserve"> </w:t>
      </w:r>
      <w:hyperlink r:id="rId7" w:history="1">
        <w:r>
          <w:rPr>
            <w:rStyle w:val="Hyperlink"/>
          </w:rPr>
          <w:t>Building for equality: Disability and the built environment</w:t>
        </w:r>
      </w:hyperlink>
      <w:r>
        <w:t xml:space="preserve"> </w:t>
      </w:r>
    </w:p>
  </w:footnote>
  <w:footnote w:id="9">
    <w:p w14:paraId="0C59614E" w14:textId="56632A46" w:rsidR="00DF3937" w:rsidRDefault="00DF3937">
      <w:pPr>
        <w:pStyle w:val="FootnoteText"/>
      </w:pPr>
      <w:r>
        <w:rPr>
          <w:rStyle w:val="FootnoteReference"/>
        </w:rPr>
        <w:footnoteRef/>
      </w:r>
      <w:r>
        <w:t xml:space="preserve"> </w:t>
      </w:r>
      <w:hyperlink r:id="rId8" w:history="1">
        <w:r>
          <w:rPr>
            <w:rStyle w:val="Hyperlink"/>
          </w:rPr>
          <w:t>Creating better streets: Inclusive and accessible places</w:t>
        </w:r>
      </w:hyperlink>
      <w:r>
        <w:t xml:space="preserve"> </w:t>
      </w:r>
    </w:p>
  </w:footnote>
  <w:footnote w:id="10">
    <w:p w14:paraId="44750CCB" w14:textId="77777777" w:rsidR="001B204A" w:rsidRDefault="001B204A" w:rsidP="001B204A">
      <w:pPr>
        <w:pStyle w:val="FootnoteText"/>
      </w:pPr>
      <w:r>
        <w:rPr>
          <w:rStyle w:val="FootnoteReference"/>
        </w:rPr>
        <w:footnoteRef/>
      </w:r>
      <w:r>
        <w:t xml:space="preserve"> </w:t>
      </w:r>
      <w:hyperlink r:id="rId9" w:history="1">
        <w:r>
          <w:rPr>
            <w:rStyle w:val="Hyperlink"/>
          </w:rPr>
          <w:t>https://www.judiciary-ni.gov.uk/sites/judiciary/files/decisions/Toner%27s %28Joanna%29 Application.pdf</w:t>
        </w:r>
      </w:hyperlink>
      <w:r>
        <w:t xml:space="preserve"> </w:t>
      </w:r>
    </w:p>
    <w:p w14:paraId="03A9BA6F" w14:textId="45EF1F29" w:rsidR="001B204A" w:rsidRDefault="001B204A">
      <w:pPr>
        <w:pStyle w:val="FootnoteText"/>
      </w:pPr>
    </w:p>
  </w:footnote>
  <w:footnote w:id="11">
    <w:p w14:paraId="2EB30902" w14:textId="537D368D" w:rsidR="000432A7" w:rsidRDefault="000432A7">
      <w:pPr>
        <w:pStyle w:val="FootnoteText"/>
      </w:pPr>
      <w:r>
        <w:rPr>
          <w:rStyle w:val="FootnoteReference"/>
        </w:rPr>
        <w:footnoteRef/>
      </w:r>
      <w:r>
        <w:t xml:space="preserve"> </w:t>
      </w:r>
      <w:hyperlink r:id="rId10" w:history="1">
        <w:r w:rsidRPr="000A55FE">
          <w:rPr>
            <w:rStyle w:val="Hyperlink"/>
          </w:rPr>
          <w:t>http://webarchive.nationalarchives.gov.uk/20090511040538/http://www.dft.gov.uk/adobepdf/165240/244921/244924/TAL_1-96</w:t>
        </w:r>
      </w:hyperlink>
      <w:r>
        <w:t xml:space="preserve"> </w:t>
      </w:r>
    </w:p>
  </w:footnote>
  <w:footnote w:id="12">
    <w:p w14:paraId="29CC7EC8" w14:textId="77777777" w:rsidR="000D1520" w:rsidRDefault="000D1520">
      <w:pPr>
        <w:pStyle w:val="FootnoteText"/>
      </w:pPr>
      <w:r>
        <w:rPr>
          <w:rStyle w:val="FootnoteReference"/>
        </w:rPr>
        <w:footnoteRef/>
      </w:r>
      <w:r>
        <w:t xml:space="preserve"> </w:t>
      </w:r>
      <w:hyperlink r:id="rId11" w:history="1">
        <w:r>
          <w:rPr>
            <w:rStyle w:val="Hyperlink"/>
          </w:rPr>
          <w:t>Accessibility Action Plan Consultation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60757D"/>
    <w:multiLevelType w:val="hybridMultilevel"/>
    <w:tmpl w:val="9E9AE8F4"/>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
    <w:nsid w:val="6F2103A1"/>
    <w:multiLevelType w:val="hybridMultilevel"/>
    <w:tmpl w:val="D0A8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5C"/>
    <w:rsid w:val="000432A7"/>
    <w:rsid w:val="00053E29"/>
    <w:rsid w:val="000571F6"/>
    <w:rsid w:val="000D1520"/>
    <w:rsid w:val="000D2CA7"/>
    <w:rsid w:val="00116927"/>
    <w:rsid w:val="001B204A"/>
    <w:rsid w:val="001B6822"/>
    <w:rsid w:val="001E4584"/>
    <w:rsid w:val="002A36D4"/>
    <w:rsid w:val="002E0ABE"/>
    <w:rsid w:val="0031793E"/>
    <w:rsid w:val="00322B2C"/>
    <w:rsid w:val="00410678"/>
    <w:rsid w:val="00412C85"/>
    <w:rsid w:val="004A2713"/>
    <w:rsid w:val="004C0741"/>
    <w:rsid w:val="004C30DC"/>
    <w:rsid w:val="004D0790"/>
    <w:rsid w:val="004E65CE"/>
    <w:rsid w:val="004F2E7C"/>
    <w:rsid w:val="00550414"/>
    <w:rsid w:val="00662981"/>
    <w:rsid w:val="00662FA3"/>
    <w:rsid w:val="00683CBD"/>
    <w:rsid w:val="006B7231"/>
    <w:rsid w:val="007509C5"/>
    <w:rsid w:val="008F1BE7"/>
    <w:rsid w:val="0091419D"/>
    <w:rsid w:val="0094685D"/>
    <w:rsid w:val="00985EAB"/>
    <w:rsid w:val="009E7A5C"/>
    <w:rsid w:val="00A1359B"/>
    <w:rsid w:val="00B224A1"/>
    <w:rsid w:val="00C64C19"/>
    <w:rsid w:val="00CD503D"/>
    <w:rsid w:val="00D2237C"/>
    <w:rsid w:val="00D409FC"/>
    <w:rsid w:val="00DF3937"/>
    <w:rsid w:val="00E017D6"/>
    <w:rsid w:val="00E4117A"/>
    <w:rsid w:val="00EB3B0B"/>
    <w:rsid w:val="00EE3572"/>
    <w:rsid w:val="00F04FBD"/>
    <w:rsid w:val="00FC76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8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E7A5C"/>
    <w:rPr>
      <w:color w:val="0000FF"/>
      <w:u w:val="single"/>
    </w:rPr>
  </w:style>
  <w:style w:type="paragraph" w:styleId="FootnoteText">
    <w:name w:val="footnote text"/>
    <w:basedOn w:val="Normal"/>
    <w:link w:val="FootnoteTextChar"/>
    <w:unhideWhenUsed/>
    <w:rsid w:val="009E7A5C"/>
  </w:style>
  <w:style w:type="character" w:customStyle="1" w:styleId="FootnoteTextChar">
    <w:name w:val="Footnote Text Char"/>
    <w:basedOn w:val="DefaultParagraphFont"/>
    <w:link w:val="FootnoteText"/>
    <w:rsid w:val="009E7A5C"/>
    <w:rPr>
      <w:rFonts w:ascii="Times New Roman" w:eastAsia="Times New Roman" w:hAnsi="Times New Roman" w:cs="Times New Roman"/>
      <w:sz w:val="24"/>
      <w:szCs w:val="24"/>
      <w:lang w:eastAsia="en-GB"/>
    </w:rPr>
  </w:style>
  <w:style w:type="paragraph" w:customStyle="1" w:styleId="Default">
    <w:name w:val="Default"/>
    <w:rsid w:val="009E7A5C"/>
    <w:pPr>
      <w:autoSpaceDE w:val="0"/>
      <w:autoSpaceDN w:val="0"/>
      <w:adjustRightInd w:val="0"/>
      <w:spacing w:after="0" w:line="240" w:lineRule="auto"/>
    </w:pPr>
    <w:rPr>
      <w:rFonts w:ascii="Arial" w:eastAsia="SimSun" w:hAnsi="Arial" w:cs="Courier New"/>
      <w:color w:val="000000"/>
      <w:sz w:val="24"/>
      <w:szCs w:val="24"/>
      <w:lang w:eastAsia="zh-CN"/>
    </w:rPr>
  </w:style>
  <w:style w:type="character" w:styleId="FootnoteReference">
    <w:name w:val="footnote reference"/>
    <w:basedOn w:val="DefaultParagraphFont"/>
    <w:unhideWhenUsed/>
    <w:rsid w:val="009E7A5C"/>
    <w:rPr>
      <w:vertAlign w:val="superscript"/>
    </w:rPr>
  </w:style>
  <w:style w:type="paragraph" w:styleId="EndnoteText">
    <w:name w:val="endnote text"/>
    <w:basedOn w:val="Normal"/>
    <w:link w:val="EndnoteTextChar"/>
    <w:uiPriority w:val="99"/>
    <w:semiHidden/>
    <w:unhideWhenUsed/>
    <w:rsid w:val="00F04FBD"/>
    <w:rPr>
      <w:sz w:val="20"/>
      <w:szCs w:val="20"/>
    </w:rPr>
  </w:style>
  <w:style w:type="character" w:customStyle="1" w:styleId="EndnoteTextChar">
    <w:name w:val="Endnote Text Char"/>
    <w:basedOn w:val="DefaultParagraphFont"/>
    <w:link w:val="EndnoteText"/>
    <w:uiPriority w:val="99"/>
    <w:semiHidden/>
    <w:rsid w:val="00F04FBD"/>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04FBD"/>
    <w:rPr>
      <w:vertAlign w:val="superscript"/>
    </w:rPr>
  </w:style>
  <w:style w:type="paragraph" w:styleId="Header">
    <w:name w:val="header"/>
    <w:basedOn w:val="Normal"/>
    <w:link w:val="HeaderChar"/>
    <w:uiPriority w:val="99"/>
    <w:unhideWhenUsed/>
    <w:rsid w:val="004E65CE"/>
    <w:pPr>
      <w:tabs>
        <w:tab w:val="center" w:pos="4513"/>
        <w:tab w:val="right" w:pos="9026"/>
      </w:tabs>
    </w:pPr>
  </w:style>
  <w:style w:type="character" w:customStyle="1" w:styleId="HeaderChar">
    <w:name w:val="Header Char"/>
    <w:basedOn w:val="DefaultParagraphFont"/>
    <w:link w:val="Header"/>
    <w:uiPriority w:val="99"/>
    <w:rsid w:val="004E65C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E65CE"/>
    <w:pPr>
      <w:tabs>
        <w:tab w:val="center" w:pos="4513"/>
        <w:tab w:val="right" w:pos="9026"/>
      </w:tabs>
    </w:pPr>
  </w:style>
  <w:style w:type="character" w:customStyle="1" w:styleId="FooterChar">
    <w:name w:val="Footer Char"/>
    <w:basedOn w:val="DefaultParagraphFont"/>
    <w:link w:val="Footer"/>
    <w:uiPriority w:val="99"/>
    <w:rsid w:val="004E65C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E65CE"/>
    <w:rPr>
      <w:rFonts w:ascii="Tahoma" w:hAnsi="Tahoma" w:cs="Tahoma"/>
      <w:sz w:val="16"/>
      <w:szCs w:val="16"/>
    </w:rPr>
  </w:style>
  <w:style w:type="character" w:customStyle="1" w:styleId="BalloonTextChar">
    <w:name w:val="Balloon Text Char"/>
    <w:basedOn w:val="DefaultParagraphFont"/>
    <w:link w:val="BalloonText"/>
    <w:uiPriority w:val="99"/>
    <w:semiHidden/>
    <w:rsid w:val="004E65CE"/>
    <w:rPr>
      <w:rFonts w:ascii="Tahoma" w:eastAsia="Times New Roman" w:hAnsi="Tahoma" w:cs="Tahoma"/>
      <w:sz w:val="16"/>
      <w:szCs w:val="16"/>
      <w:lang w:eastAsia="en-GB"/>
    </w:rPr>
  </w:style>
  <w:style w:type="paragraph" w:styleId="CommentText">
    <w:name w:val="annotation text"/>
    <w:basedOn w:val="Normal"/>
    <w:link w:val="CommentTextChar"/>
    <w:uiPriority w:val="99"/>
    <w:semiHidden/>
    <w:unhideWhenUsed/>
    <w:rsid w:val="0091419D"/>
    <w:rPr>
      <w:sz w:val="20"/>
      <w:szCs w:val="20"/>
    </w:rPr>
  </w:style>
  <w:style w:type="character" w:customStyle="1" w:styleId="CommentTextChar">
    <w:name w:val="Comment Text Char"/>
    <w:basedOn w:val="DefaultParagraphFont"/>
    <w:link w:val="CommentText"/>
    <w:uiPriority w:val="99"/>
    <w:semiHidden/>
    <w:rsid w:val="0091419D"/>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91419D"/>
    <w:rPr>
      <w:sz w:val="16"/>
      <w:szCs w:val="16"/>
    </w:rPr>
  </w:style>
  <w:style w:type="paragraph" w:styleId="NormalWeb">
    <w:name w:val="Normal (Web)"/>
    <w:basedOn w:val="Normal"/>
    <w:uiPriority w:val="99"/>
    <w:semiHidden/>
    <w:unhideWhenUsed/>
    <w:rsid w:val="00CD503D"/>
  </w:style>
  <w:style w:type="paragraph" w:styleId="ListParagraph">
    <w:name w:val="List Paragraph"/>
    <w:basedOn w:val="Normal"/>
    <w:uiPriority w:val="34"/>
    <w:qFormat/>
    <w:rsid w:val="00D409FC"/>
    <w:pPr>
      <w:ind w:left="720"/>
      <w:contextualSpacing/>
    </w:pPr>
  </w:style>
  <w:style w:type="character" w:styleId="FollowedHyperlink">
    <w:name w:val="FollowedHyperlink"/>
    <w:basedOn w:val="DefaultParagraphFont"/>
    <w:uiPriority w:val="99"/>
    <w:semiHidden/>
    <w:unhideWhenUsed/>
    <w:rsid w:val="00DF39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E7A5C"/>
    <w:rPr>
      <w:color w:val="0000FF"/>
      <w:u w:val="single"/>
    </w:rPr>
  </w:style>
  <w:style w:type="paragraph" w:styleId="FootnoteText">
    <w:name w:val="footnote text"/>
    <w:basedOn w:val="Normal"/>
    <w:link w:val="FootnoteTextChar"/>
    <w:unhideWhenUsed/>
    <w:rsid w:val="009E7A5C"/>
  </w:style>
  <w:style w:type="character" w:customStyle="1" w:styleId="FootnoteTextChar">
    <w:name w:val="Footnote Text Char"/>
    <w:basedOn w:val="DefaultParagraphFont"/>
    <w:link w:val="FootnoteText"/>
    <w:rsid w:val="009E7A5C"/>
    <w:rPr>
      <w:rFonts w:ascii="Times New Roman" w:eastAsia="Times New Roman" w:hAnsi="Times New Roman" w:cs="Times New Roman"/>
      <w:sz w:val="24"/>
      <w:szCs w:val="24"/>
      <w:lang w:eastAsia="en-GB"/>
    </w:rPr>
  </w:style>
  <w:style w:type="paragraph" w:customStyle="1" w:styleId="Default">
    <w:name w:val="Default"/>
    <w:rsid w:val="009E7A5C"/>
    <w:pPr>
      <w:autoSpaceDE w:val="0"/>
      <w:autoSpaceDN w:val="0"/>
      <w:adjustRightInd w:val="0"/>
      <w:spacing w:after="0" w:line="240" w:lineRule="auto"/>
    </w:pPr>
    <w:rPr>
      <w:rFonts w:ascii="Arial" w:eastAsia="SimSun" w:hAnsi="Arial" w:cs="Courier New"/>
      <w:color w:val="000000"/>
      <w:sz w:val="24"/>
      <w:szCs w:val="24"/>
      <w:lang w:eastAsia="zh-CN"/>
    </w:rPr>
  </w:style>
  <w:style w:type="character" w:styleId="FootnoteReference">
    <w:name w:val="footnote reference"/>
    <w:basedOn w:val="DefaultParagraphFont"/>
    <w:unhideWhenUsed/>
    <w:rsid w:val="009E7A5C"/>
    <w:rPr>
      <w:vertAlign w:val="superscript"/>
    </w:rPr>
  </w:style>
  <w:style w:type="paragraph" w:styleId="EndnoteText">
    <w:name w:val="endnote text"/>
    <w:basedOn w:val="Normal"/>
    <w:link w:val="EndnoteTextChar"/>
    <w:uiPriority w:val="99"/>
    <w:semiHidden/>
    <w:unhideWhenUsed/>
    <w:rsid w:val="00F04FBD"/>
    <w:rPr>
      <w:sz w:val="20"/>
      <w:szCs w:val="20"/>
    </w:rPr>
  </w:style>
  <w:style w:type="character" w:customStyle="1" w:styleId="EndnoteTextChar">
    <w:name w:val="Endnote Text Char"/>
    <w:basedOn w:val="DefaultParagraphFont"/>
    <w:link w:val="EndnoteText"/>
    <w:uiPriority w:val="99"/>
    <w:semiHidden/>
    <w:rsid w:val="00F04FBD"/>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04FBD"/>
    <w:rPr>
      <w:vertAlign w:val="superscript"/>
    </w:rPr>
  </w:style>
  <w:style w:type="paragraph" w:styleId="Header">
    <w:name w:val="header"/>
    <w:basedOn w:val="Normal"/>
    <w:link w:val="HeaderChar"/>
    <w:uiPriority w:val="99"/>
    <w:unhideWhenUsed/>
    <w:rsid w:val="004E65CE"/>
    <w:pPr>
      <w:tabs>
        <w:tab w:val="center" w:pos="4513"/>
        <w:tab w:val="right" w:pos="9026"/>
      </w:tabs>
    </w:pPr>
  </w:style>
  <w:style w:type="character" w:customStyle="1" w:styleId="HeaderChar">
    <w:name w:val="Header Char"/>
    <w:basedOn w:val="DefaultParagraphFont"/>
    <w:link w:val="Header"/>
    <w:uiPriority w:val="99"/>
    <w:rsid w:val="004E65C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E65CE"/>
    <w:pPr>
      <w:tabs>
        <w:tab w:val="center" w:pos="4513"/>
        <w:tab w:val="right" w:pos="9026"/>
      </w:tabs>
    </w:pPr>
  </w:style>
  <w:style w:type="character" w:customStyle="1" w:styleId="FooterChar">
    <w:name w:val="Footer Char"/>
    <w:basedOn w:val="DefaultParagraphFont"/>
    <w:link w:val="Footer"/>
    <w:uiPriority w:val="99"/>
    <w:rsid w:val="004E65C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E65CE"/>
    <w:rPr>
      <w:rFonts w:ascii="Tahoma" w:hAnsi="Tahoma" w:cs="Tahoma"/>
      <w:sz w:val="16"/>
      <w:szCs w:val="16"/>
    </w:rPr>
  </w:style>
  <w:style w:type="character" w:customStyle="1" w:styleId="BalloonTextChar">
    <w:name w:val="Balloon Text Char"/>
    <w:basedOn w:val="DefaultParagraphFont"/>
    <w:link w:val="BalloonText"/>
    <w:uiPriority w:val="99"/>
    <w:semiHidden/>
    <w:rsid w:val="004E65CE"/>
    <w:rPr>
      <w:rFonts w:ascii="Tahoma" w:eastAsia="Times New Roman" w:hAnsi="Tahoma" w:cs="Tahoma"/>
      <w:sz w:val="16"/>
      <w:szCs w:val="16"/>
      <w:lang w:eastAsia="en-GB"/>
    </w:rPr>
  </w:style>
  <w:style w:type="paragraph" w:styleId="CommentText">
    <w:name w:val="annotation text"/>
    <w:basedOn w:val="Normal"/>
    <w:link w:val="CommentTextChar"/>
    <w:uiPriority w:val="99"/>
    <w:semiHidden/>
    <w:unhideWhenUsed/>
    <w:rsid w:val="0091419D"/>
    <w:rPr>
      <w:sz w:val="20"/>
      <w:szCs w:val="20"/>
    </w:rPr>
  </w:style>
  <w:style w:type="character" w:customStyle="1" w:styleId="CommentTextChar">
    <w:name w:val="Comment Text Char"/>
    <w:basedOn w:val="DefaultParagraphFont"/>
    <w:link w:val="CommentText"/>
    <w:uiPriority w:val="99"/>
    <w:semiHidden/>
    <w:rsid w:val="0091419D"/>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91419D"/>
    <w:rPr>
      <w:sz w:val="16"/>
      <w:szCs w:val="16"/>
    </w:rPr>
  </w:style>
  <w:style w:type="paragraph" w:styleId="NormalWeb">
    <w:name w:val="Normal (Web)"/>
    <w:basedOn w:val="Normal"/>
    <w:uiPriority w:val="99"/>
    <w:semiHidden/>
    <w:unhideWhenUsed/>
    <w:rsid w:val="00CD503D"/>
  </w:style>
  <w:style w:type="paragraph" w:styleId="ListParagraph">
    <w:name w:val="List Paragraph"/>
    <w:basedOn w:val="Normal"/>
    <w:uiPriority w:val="34"/>
    <w:qFormat/>
    <w:rsid w:val="00D409FC"/>
    <w:pPr>
      <w:ind w:left="720"/>
      <w:contextualSpacing/>
    </w:pPr>
  </w:style>
  <w:style w:type="character" w:styleId="FollowedHyperlink">
    <w:name w:val="FollowedHyperlink"/>
    <w:basedOn w:val="DefaultParagraphFont"/>
    <w:uiPriority w:val="99"/>
    <w:semiHidden/>
    <w:unhideWhenUsed/>
    <w:rsid w:val="00DF3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77558">
      <w:bodyDiv w:val="1"/>
      <w:marLeft w:val="0"/>
      <w:marRight w:val="0"/>
      <w:marTop w:val="0"/>
      <w:marBottom w:val="0"/>
      <w:divBdr>
        <w:top w:val="none" w:sz="0" w:space="0" w:color="auto"/>
        <w:left w:val="none" w:sz="0" w:space="0" w:color="auto"/>
        <w:bottom w:val="none" w:sz="0" w:space="0" w:color="auto"/>
        <w:right w:val="none" w:sz="0" w:space="0" w:color="auto"/>
      </w:divBdr>
      <w:divsChild>
        <w:div w:id="1702709538">
          <w:marLeft w:val="0"/>
          <w:marRight w:val="0"/>
          <w:marTop w:val="0"/>
          <w:marBottom w:val="0"/>
          <w:divBdr>
            <w:top w:val="none" w:sz="0" w:space="0" w:color="auto"/>
            <w:left w:val="none" w:sz="0" w:space="0" w:color="auto"/>
            <w:bottom w:val="none" w:sz="0" w:space="0" w:color="auto"/>
            <w:right w:val="none" w:sz="0" w:space="0" w:color="auto"/>
          </w:divBdr>
          <w:divsChild>
            <w:div w:id="1393695448">
              <w:marLeft w:val="0"/>
              <w:marRight w:val="0"/>
              <w:marTop w:val="0"/>
              <w:marBottom w:val="0"/>
              <w:divBdr>
                <w:top w:val="none" w:sz="0" w:space="0" w:color="auto"/>
                <w:left w:val="none" w:sz="0" w:space="0" w:color="auto"/>
                <w:bottom w:val="none" w:sz="0" w:space="0" w:color="auto"/>
                <w:right w:val="none" w:sz="0" w:space="0" w:color="auto"/>
              </w:divBdr>
              <w:divsChild>
                <w:div w:id="498735425">
                  <w:marLeft w:val="0"/>
                  <w:marRight w:val="0"/>
                  <w:marTop w:val="0"/>
                  <w:marBottom w:val="0"/>
                  <w:divBdr>
                    <w:top w:val="none" w:sz="0" w:space="0" w:color="auto"/>
                    <w:left w:val="none" w:sz="0" w:space="0" w:color="auto"/>
                    <w:bottom w:val="none" w:sz="0" w:space="0" w:color="auto"/>
                    <w:right w:val="none" w:sz="0" w:space="0" w:color="auto"/>
                  </w:divBdr>
                  <w:divsChild>
                    <w:div w:id="5879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9171">
      <w:bodyDiv w:val="1"/>
      <w:marLeft w:val="0"/>
      <w:marRight w:val="0"/>
      <w:marTop w:val="0"/>
      <w:marBottom w:val="0"/>
      <w:divBdr>
        <w:top w:val="none" w:sz="0" w:space="0" w:color="auto"/>
        <w:left w:val="none" w:sz="0" w:space="0" w:color="auto"/>
        <w:bottom w:val="none" w:sz="0" w:space="0" w:color="auto"/>
        <w:right w:val="none" w:sz="0" w:space="0" w:color="auto"/>
      </w:divBdr>
      <w:divsChild>
        <w:div w:id="460997044">
          <w:marLeft w:val="0"/>
          <w:marRight w:val="0"/>
          <w:marTop w:val="0"/>
          <w:marBottom w:val="0"/>
          <w:divBdr>
            <w:top w:val="none" w:sz="0" w:space="0" w:color="auto"/>
            <w:left w:val="none" w:sz="0" w:space="0" w:color="auto"/>
            <w:bottom w:val="none" w:sz="0" w:space="0" w:color="auto"/>
            <w:right w:val="none" w:sz="0" w:space="0" w:color="auto"/>
          </w:divBdr>
          <w:divsChild>
            <w:div w:id="1234698304">
              <w:marLeft w:val="0"/>
              <w:marRight w:val="0"/>
              <w:marTop w:val="0"/>
              <w:marBottom w:val="0"/>
              <w:divBdr>
                <w:top w:val="none" w:sz="0" w:space="0" w:color="auto"/>
                <w:left w:val="none" w:sz="0" w:space="0" w:color="auto"/>
                <w:bottom w:val="none" w:sz="0" w:space="0" w:color="auto"/>
                <w:right w:val="none" w:sz="0" w:space="0" w:color="auto"/>
              </w:divBdr>
              <w:divsChild>
                <w:div w:id="1282494488">
                  <w:marLeft w:val="0"/>
                  <w:marRight w:val="0"/>
                  <w:marTop w:val="0"/>
                  <w:marBottom w:val="0"/>
                  <w:divBdr>
                    <w:top w:val="none" w:sz="0" w:space="0" w:color="auto"/>
                    <w:left w:val="none" w:sz="0" w:space="0" w:color="auto"/>
                    <w:bottom w:val="none" w:sz="0" w:space="0" w:color="auto"/>
                    <w:right w:val="none" w:sz="0" w:space="0" w:color="auto"/>
                  </w:divBdr>
                  <w:divsChild>
                    <w:div w:id="2164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7658">
      <w:bodyDiv w:val="1"/>
      <w:marLeft w:val="0"/>
      <w:marRight w:val="0"/>
      <w:marTop w:val="0"/>
      <w:marBottom w:val="0"/>
      <w:divBdr>
        <w:top w:val="none" w:sz="0" w:space="0" w:color="auto"/>
        <w:left w:val="none" w:sz="0" w:space="0" w:color="auto"/>
        <w:bottom w:val="none" w:sz="0" w:space="0" w:color="auto"/>
        <w:right w:val="none" w:sz="0" w:space="0" w:color="auto"/>
      </w:divBdr>
    </w:div>
    <w:div w:id="1266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mtac.org.uk" TargetMode="External"/><Relationship Id="rId5" Type="http://schemas.openxmlformats.org/officeDocument/2006/relationships/settings" Target="settings.xml"/><Relationship Id="rId10" Type="http://schemas.openxmlformats.org/officeDocument/2006/relationships/hyperlink" Target="http://www.imtac.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iht.org.uk/en/document-summary/index.cfm/docid/BF28B40D-9855-46D6-B8C19E22B64AA066" TargetMode="External"/><Relationship Id="rId3" Type="http://schemas.openxmlformats.org/officeDocument/2006/relationships/hyperlink" Target="https://www.infrastructure-ni.gov.uk/sites/default/files/publications/drd/kerb-heights-in-public-realm-schemes-dem-154-15.pdf" TargetMode="External"/><Relationship Id="rId7" Type="http://schemas.openxmlformats.org/officeDocument/2006/relationships/hyperlink" Target="https://publications.parliament.uk/pa/cm201617/cmselect/cmwomeq/631/63102.htm" TargetMode="External"/><Relationship Id="rId2" Type="http://schemas.openxmlformats.org/officeDocument/2006/relationships/hyperlink" Target="https://www.gov.uk/government/publications/shared-space" TargetMode="External"/><Relationship Id="rId1" Type="http://schemas.openxmlformats.org/officeDocument/2006/relationships/hyperlink" Target="https://www.imtac.org.uk/publications/imtac-statement-shared-surface-streets" TargetMode="External"/><Relationship Id="rId6" Type="http://schemas.openxmlformats.org/officeDocument/2006/relationships/hyperlink" Target="https://publications.parliament.uk/pa/ld201516/ldselect/ldeqact/117/11702.htm" TargetMode="External"/><Relationship Id="rId11" Type="http://schemas.openxmlformats.org/officeDocument/2006/relationships/hyperlink" Target="https://assets.publishing.service.gov.uk/government/uploads/system/uploads/attachment_data/file/638404/accessibility-action-plan-consultation.pdf" TargetMode="External"/><Relationship Id="rId5" Type="http://schemas.openxmlformats.org/officeDocument/2006/relationships/hyperlink" Target="http://chrisholmes.co.uk/wp-content/uploads/2015/07/Holmes-Report-on-Shared-Space-.pdf" TargetMode="External"/><Relationship Id="rId10" Type="http://schemas.openxmlformats.org/officeDocument/2006/relationships/hyperlink" Target="http://webarchive.nationalarchives.gov.uk/20090511040538/http://www.dft.gov.uk/adobepdf/165240/244921/244924/TAL_1-96" TargetMode="External"/><Relationship Id="rId4" Type="http://schemas.openxmlformats.org/officeDocument/2006/relationships/hyperlink" Target="https://www.guidedogs.org.uk/media/1975/1253_tns_impact_report_for_guide_dogs_2010.pdf" TargetMode="External"/><Relationship Id="rId9" Type="http://schemas.openxmlformats.org/officeDocument/2006/relationships/hyperlink" Target="https://www.judiciary-ni.gov.uk/sites/judiciary/files/decisions/Toner%27s%20%28Joanna%29%20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93284-D985-4DAC-85D2-B3B63FCA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cp:lastPrinted>2017-12-06T12:25:00Z</cp:lastPrinted>
  <dcterms:created xsi:type="dcterms:W3CDTF">2018-05-08T09:26:00Z</dcterms:created>
  <dcterms:modified xsi:type="dcterms:W3CDTF">2018-05-22T13:19:00Z</dcterms:modified>
</cp:coreProperties>
</file>