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59D85" w14:textId="77777777" w:rsidR="00F203A9" w:rsidRDefault="00F203A9" w:rsidP="00F203A9">
      <w:pPr>
        <w:ind w:firstLine="720"/>
        <w:rPr>
          <w:rFonts w:cs="Arial"/>
          <w:b/>
          <w:szCs w:val="28"/>
        </w:rPr>
      </w:pPr>
      <w:r w:rsidRPr="00E635A0">
        <w:rPr>
          <w:rFonts w:cs="Arial"/>
          <w:b/>
          <w:noProof/>
          <w:szCs w:val="28"/>
          <w:lang w:val="en-US"/>
        </w:rPr>
        <w:drawing>
          <wp:inline distT="0" distB="0" distL="0" distR="0" wp14:anchorId="6AC1DD53" wp14:editId="2A549C95">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5388B4AF" w14:textId="77777777" w:rsidR="00365274" w:rsidRDefault="00365274" w:rsidP="00F203A9">
      <w:pPr>
        <w:rPr>
          <w:b/>
          <w:sz w:val="36"/>
          <w:szCs w:val="36"/>
        </w:rPr>
      </w:pPr>
    </w:p>
    <w:p w14:paraId="3E886E59" w14:textId="77777777" w:rsidR="00F203A9" w:rsidRPr="00F203A9" w:rsidRDefault="00F203A9" w:rsidP="00F203A9">
      <w:pPr>
        <w:rPr>
          <w:b/>
          <w:sz w:val="36"/>
          <w:szCs w:val="36"/>
        </w:rPr>
      </w:pPr>
      <w:r w:rsidRPr="00F203A9">
        <w:rPr>
          <w:b/>
          <w:sz w:val="36"/>
          <w:szCs w:val="36"/>
        </w:rPr>
        <w:t xml:space="preserve">Statement from Imtac on living with COVID-19 </w:t>
      </w:r>
    </w:p>
    <w:p w14:paraId="12FE1ED5" w14:textId="77777777" w:rsidR="00F203A9" w:rsidRDefault="00F203A9" w:rsidP="00F203A9">
      <w:pPr>
        <w:ind w:left="5760" w:firstLine="720"/>
        <w:rPr>
          <w:b/>
          <w:sz w:val="32"/>
          <w:szCs w:val="32"/>
        </w:rPr>
      </w:pPr>
    </w:p>
    <w:p w14:paraId="39F18455" w14:textId="77777777" w:rsidR="00F203A9" w:rsidRDefault="00F203A9" w:rsidP="00F203A9">
      <w:pPr>
        <w:ind w:left="5040" w:firstLine="720"/>
        <w:rPr>
          <w:b/>
          <w:sz w:val="32"/>
          <w:szCs w:val="32"/>
        </w:rPr>
      </w:pPr>
      <w:r w:rsidRPr="002A4088">
        <w:rPr>
          <w:b/>
          <w:sz w:val="32"/>
          <w:szCs w:val="32"/>
        </w:rPr>
        <w:t>(</w:t>
      </w:r>
      <w:r>
        <w:rPr>
          <w:b/>
          <w:sz w:val="32"/>
          <w:szCs w:val="32"/>
        </w:rPr>
        <w:t>May 2020</w:t>
      </w:r>
      <w:r w:rsidRPr="002A4088">
        <w:rPr>
          <w:b/>
          <w:sz w:val="32"/>
          <w:szCs w:val="32"/>
        </w:rPr>
        <w:t>)</w:t>
      </w:r>
    </w:p>
    <w:p w14:paraId="016E7824" w14:textId="77777777" w:rsidR="00F203A9" w:rsidRDefault="00F203A9" w:rsidP="00F203A9">
      <w:pPr>
        <w:rPr>
          <w:rFonts w:cs="Arial"/>
          <w:b/>
          <w:sz w:val="36"/>
          <w:szCs w:val="36"/>
        </w:rPr>
      </w:pPr>
    </w:p>
    <w:p w14:paraId="0603A698" w14:textId="77777777" w:rsidR="00F203A9" w:rsidRDefault="00F203A9" w:rsidP="00F203A9">
      <w:pPr>
        <w:rPr>
          <w:rFonts w:cs="Arial"/>
          <w:b/>
          <w:sz w:val="36"/>
          <w:szCs w:val="36"/>
        </w:rPr>
      </w:pPr>
    </w:p>
    <w:p w14:paraId="551ABA75" w14:textId="77777777" w:rsidR="00F203A9" w:rsidRDefault="00F203A9" w:rsidP="00F203A9">
      <w:pPr>
        <w:rPr>
          <w:rFonts w:cs="Arial"/>
          <w:b/>
          <w:sz w:val="36"/>
          <w:szCs w:val="36"/>
        </w:rPr>
      </w:pPr>
    </w:p>
    <w:p w14:paraId="7D700A67" w14:textId="77777777" w:rsidR="00F203A9" w:rsidRDefault="00F203A9" w:rsidP="00F203A9">
      <w:pPr>
        <w:rPr>
          <w:rFonts w:cs="Arial"/>
          <w:bCs/>
          <w:szCs w:val="28"/>
        </w:rPr>
      </w:pPr>
    </w:p>
    <w:p w14:paraId="4E4C0196" w14:textId="77777777" w:rsidR="00F203A9" w:rsidRDefault="00F203A9" w:rsidP="00F203A9">
      <w:pPr>
        <w:rPr>
          <w:rFonts w:cs="Arial"/>
          <w:bCs/>
          <w:szCs w:val="28"/>
        </w:rPr>
      </w:pPr>
    </w:p>
    <w:p w14:paraId="54E5AE2F" w14:textId="77777777" w:rsidR="00F203A9" w:rsidRPr="00E635A0" w:rsidRDefault="00F203A9" w:rsidP="00F203A9">
      <w:pPr>
        <w:rPr>
          <w:rFonts w:cs="Arial"/>
          <w:bCs/>
          <w:sz w:val="36"/>
          <w:szCs w:val="36"/>
        </w:rPr>
      </w:pPr>
      <w:r w:rsidRPr="00E635A0">
        <w:rPr>
          <w:rFonts w:cs="Arial"/>
          <w:bCs/>
          <w:sz w:val="36"/>
          <w:szCs w:val="36"/>
        </w:rPr>
        <w:t>Imtac is committed to making information about our work accessible.  Details of how to obtain information in your preferred format are included on the next page.</w:t>
      </w:r>
    </w:p>
    <w:p w14:paraId="0A5820FC" w14:textId="77777777" w:rsidR="00F203A9" w:rsidRDefault="00F203A9" w:rsidP="00F203A9">
      <w:pPr>
        <w:rPr>
          <w:rFonts w:cs="Arial"/>
          <w:b/>
          <w:szCs w:val="28"/>
        </w:rPr>
      </w:pPr>
      <w:r w:rsidRPr="00E635A0">
        <w:rPr>
          <w:rFonts w:cs="Arial"/>
          <w:b/>
          <w:szCs w:val="28"/>
        </w:rPr>
        <w:br w:type="page"/>
      </w:r>
      <w:r w:rsidRPr="00E635A0">
        <w:rPr>
          <w:rFonts w:cs="Arial"/>
          <w:b/>
          <w:szCs w:val="28"/>
        </w:rPr>
        <w:lastRenderedPageBreak/>
        <w:t>Making our information accessible</w:t>
      </w:r>
    </w:p>
    <w:p w14:paraId="71F62A34" w14:textId="77777777" w:rsidR="00F203A9" w:rsidRPr="00E635A0" w:rsidRDefault="00F203A9" w:rsidP="00F203A9">
      <w:pPr>
        <w:rPr>
          <w:rFonts w:cs="Arial"/>
          <w:b/>
          <w:szCs w:val="28"/>
        </w:rPr>
      </w:pPr>
    </w:p>
    <w:p w14:paraId="0BBDF1BF" w14:textId="77777777" w:rsidR="00F203A9" w:rsidRDefault="00F203A9" w:rsidP="00F203A9">
      <w:pPr>
        <w:rPr>
          <w:rFonts w:cs="Arial"/>
          <w:szCs w:val="28"/>
        </w:rPr>
      </w:pPr>
      <w:r w:rsidRPr="00E635A0">
        <w:rPr>
          <w:rFonts w:cs="Arial"/>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10EFF2BF" w14:textId="77777777" w:rsidR="00F203A9" w:rsidRPr="00E635A0" w:rsidRDefault="00F203A9" w:rsidP="00F203A9">
      <w:pPr>
        <w:rPr>
          <w:rFonts w:cs="Arial"/>
          <w:szCs w:val="28"/>
        </w:rPr>
      </w:pPr>
    </w:p>
    <w:p w14:paraId="6040525D" w14:textId="77777777" w:rsidR="00F203A9" w:rsidRDefault="00F203A9" w:rsidP="00F203A9">
      <w:pPr>
        <w:rPr>
          <w:rFonts w:cs="Arial"/>
          <w:szCs w:val="28"/>
        </w:rPr>
      </w:pPr>
      <w:r w:rsidRPr="00E635A0">
        <w:rPr>
          <w:rFonts w:cs="Arial"/>
          <w:szCs w:val="28"/>
        </w:rPr>
        <w:t xml:space="preserve">All our documents are available in hard copy in 14pt type size as standard.  We also provide word and pdf versions of our documents on our website – </w:t>
      </w:r>
      <w:hyperlink r:id="rId9" w:history="1">
        <w:r w:rsidRPr="00E635A0">
          <w:rPr>
            <w:rStyle w:val="Hyperlink"/>
            <w:rFonts w:cs="Arial"/>
            <w:szCs w:val="28"/>
          </w:rPr>
          <w:t>www.imtac.org.uk</w:t>
        </w:r>
      </w:hyperlink>
      <w:r w:rsidRPr="00E635A0">
        <w:rPr>
          <w:rFonts w:cs="Arial"/>
          <w:szCs w:val="28"/>
        </w:rPr>
        <w:t>.  In addition we will provide information in a range of other formats.  These formats include:</w:t>
      </w:r>
    </w:p>
    <w:p w14:paraId="1EA4B6D8" w14:textId="77777777" w:rsidR="00F203A9" w:rsidRPr="00E635A0" w:rsidRDefault="00F203A9" w:rsidP="00F203A9">
      <w:pPr>
        <w:rPr>
          <w:rFonts w:cs="Arial"/>
          <w:szCs w:val="28"/>
        </w:rPr>
      </w:pPr>
    </w:p>
    <w:p w14:paraId="30073604" w14:textId="77777777" w:rsidR="00F203A9" w:rsidRPr="00E635A0" w:rsidRDefault="00F203A9" w:rsidP="00F203A9">
      <w:pPr>
        <w:numPr>
          <w:ilvl w:val="0"/>
          <w:numId w:val="3"/>
        </w:numPr>
        <w:spacing w:line="276" w:lineRule="auto"/>
        <w:rPr>
          <w:rFonts w:cs="Arial"/>
          <w:szCs w:val="28"/>
        </w:rPr>
      </w:pPr>
      <w:r w:rsidRPr="00E635A0">
        <w:rPr>
          <w:rFonts w:cs="Arial"/>
          <w:szCs w:val="28"/>
        </w:rPr>
        <w:t>Large print</w:t>
      </w:r>
    </w:p>
    <w:p w14:paraId="1FAFFE1D" w14:textId="77777777" w:rsidR="00F203A9" w:rsidRPr="00E635A0" w:rsidRDefault="00F203A9" w:rsidP="00F203A9">
      <w:pPr>
        <w:numPr>
          <w:ilvl w:val="0"/>
          <w:numId w:val="3"/>
        </w:numPr>
        <w:spacing w:line="276" w:lineRule="auto"/>
        <w:rPr>
          <w:rFonts w:cs="Arial"/>
          <w:szCs w:val="28"/>
        </w:rPr>
      </w:pPr>
      <w:r w:rsidRPr="00E635A0">
        <w:rPr>
          <w:rFonts w:cs="Arial"/>
          <w:szCs w:val="28"/>
        </w:rPr>
        <w:t xml:space="preserve">Audio </w:t>
      </w:r>
      <w:r>
        <w:rPr>
          <w:rFonts w:cs="Arial"/>
          <w:szCs w:val="28"/>
        </w:rPr>
        <w:t>versions</w:t>
      </w:r>
    </w:p>
    <w:p w14:paraId="3DB45D07" w14:textId="77777777" w:rsidR="00F203A9" w:rsidRPr="00E635A0" w:rsidRDefault="00F203A9" w:rsidP="00F203A9">
      <w:pPr>
        <w:numPr>
          <w:ilvl w:val="0"/>
          <w:numId w:val="3"/>
        </w:numPr>
        <w:spacing w:line="276" w:lineRule="auto"/>
        <w:rPr>
          <w:rFonts w:cs="Arial"/>
          <w:szCs w:val="28"/>
        </w:rPr>
      </w:pPr>
      <w:r w:rsidRPr="00E635A0">
        <w:rPr>
          <w:rFonts w:cs="Arial"/>
          <w:szCs w:val="28"/>
        </w:rPr>
        <w:t>Braille</w:t>
      </w:r>
    </w:p>
    <w:p w14:paraId="4B619BC0" w14:textId="77777777" w:rsidR="00F203A9" w:rsidRPr="00E635A0" w:rsidRDefault="00F203A9" w:rsidP="00F203A9">
      <w:pPr>
        <w:numPr>
          <w:ilvl w:val="0"/>
          <w:numId w:val="3"/>
        </w:numPr>
        <w:spacing w:line="276" w:lineRule="auto"/>
        <w:rPr>
          <w:rFonts w:cs="Arial"/>
          <w:szCs w:val="28"/>
        </w:rPr>
      </w:pPr>
      <w:r w:rsidRPr="00E635A0">
        <w:rPr>
          <w:rFonts w:cs="Arial"/>
          <w:szCs w:val="28"/>
        </w:rPr>
        <w:t>Electronic copies on disc or via email in PDF or word</w:t>
      </w:r>
    </w:p>
    <w:p w14:paraId="7AA0F627" w14:textId="77777777" w:rsidR="00F203A9" w:rsidRPr="00E635A0" w:rsidRDefault="00F203A9" w:rsidP="00F203A9">
      <w:pPr>
        <w:numPr>
          <w:ilvl w:val="0"/>
          <w:numId w:val="3"/>
        </w:numPr>
        <w:spacing w:line="276" w:lineRule="auto"/>
        <w:rPr>
          <w:rFonts w:cs="Arial"/>
          <w:szCs w:val="28"/>
        </w:rPr>
      </w:pPr>
      <w:r w:rsidRPr="00E635A0">
        <w:rPr>
          <w:rFonts w:cs="Arial"/>
          <w:szCs w:val="28"/>
        </w:rPr>
        <w:t>Easy read</w:t>
      </w:r>
    </w:p>
    <w:p w14:paraId="0C103B78" w14:textId="77777777" w:rsidR="00F203A9" w:rsidRDefault="00F203A9" w:rsidP="00F203A9">
      <w:pPr>
        <w:numPr>
          <w:ilvl w:val="0"/>
          <w:numId w:val="3"/>
        </w:numPr>
        <w:spacing w:line="276" w:lineRule="auto"/>
        <w:rPr>
          <w:rFonts w:cs="Arial"/>
          <w:szCs w:val="28"/>
        </w:rPr>
      </w:pPr>
      <w:r w:rsidRPr="00E635A0">
        <w:rPr>
          <w:rFonts w:cs="Arial"/>
          <w:szCs w:val="28"/>
        </w:rPr>
        <w:t>Information about our work in other languages</w:t>
      </w:r>
    </w:p>
    <w:p w14:paraId="65C62376" w14:textId="77777777" w:rsidR="00F203A9" w:rsidRPr="00E1038F" w:rsidRDefault="00F203A9" w:rsidP="00F203A9">
      <w:pPr>
        <w:ind w:left="720"/>
        <w:rPr>
          <w:rFonts w:cs="Arial"/>
          <w:szCs w:val="28"/>
        </w:rPr>
      </w:pPr>
    </w:p>
    <w:p w14:paraId="7D4B60E5" w14:textId="77777777" w:rsidR="00F203A9" w:rsidRPr="00E635A0" w:rsidRDefault="00F203A9" w:rsidP="00F203A9">
      <w:pPr>
        <w:rPr>
          <w:rFonts w:cs="Arial"/>
          <w:szCs w:val="28"/>
        </w:rPr>
      </w:pPr>
      <w:r w:rsidRPr="00E635A0">
        <w:rPr>
          <w:rFonts w:cs="Arial"/>
          <w:szCs w:val="28"/>
        </w:rPr>
        <w:t>If you would like this publication in any of the formats listed above or if you have any other information requirements please contact:</w:t>
      </w:r>
    </w:p>
    <w:p w14:paraId="4FD13B22" w14:textId="77777777" w:rsidR="00F203A9" w:rsidRPr="00E635A0" w:rsidRDefault="00F203A9" w:rsidP="00F203A9">
      <w:pPr>
        <w:rPr>
          <w:rFonts w:cs="Arial"/>
          <w:szCs w:val="28"/>
        </w:rPr>
      </w:pPr>
    </w:p>
    <w:p w14:paraId="28D670A1" w14:textId="77777777" w:rsidR="00F203A9" w:rsidRPr="00E635A0" w:rsidRDefault="00F203A9" w:rsidP="00F203A9">
      <w:pPr>
        <w:rPr>
          <w:rFonts w:cs="Arial"/>
          <w:szCs w:val="28"/>
        </w:rPr>
      </w:pPr>
      <w:r w:rsidRPr="00E635A0">
        <w:rPr>
          <w:rFonts w:cs="Arial"/>
          <w:szCs w:val="28"/>
        </w:rPr>
        <w:t>Michael Lorimer</w:t>
      </w:r>
    </w:p>
    <w:p w14:paraId="45AB8BD5" w14:textId="77777777" w:rsidR="00F203A9" w:rsidRPr="00E635A0" w:rsidRDefault="00F203A9" w:rsidP="00F203A9">
      <w:pPr>
        <w:rPr>
          <w:rFonts w:cs="Arial"/>
          <w:szCs w:val="28"/>
        </w:rPr>
      </w:pPr>
      <w:r w:rsidRPr="00E635A0">
        <w:rPr>
          <w:rFonts w:cs="Arial"/>
          <w:szCs w:val="28"/>
        </w:rPr>
        <w:t>Imtac</w:t>
      </w:r>
    </w:p>
    <w:p w14:paraId="61203ED2" w14:textId="77777777" w:rsidR="00F203A9" w:rsidRPr="00E635A0" w:rsidRDefault="00F203A9" w:rsidP="00F203A9">
      <w:pPr>
        <w:rPr>
          <w:rFonts w:cs="Arial"/>
          <w:szCs w:val="28"/>
        </w:rPr>
      </w:pPr>
      <w:r w:rsidRPr="00E635A0">
        <w:rPr>
          <w:rFonts w:cs="Arial"/>
          <w:szCs w:val="28"/>
        </w:rPr>
        <w:t>Titanic Suites</w:t>
      </w:r>
    </w:p>
    <w:p w14:paraId="2D16F354" w14:textId="77777777" w:rsidR="00F203A9" w:rsidRPr="00E635A0" w:rsidRDefault="00F203A9" w:rsidP="00F203A9">
      <w:pPr>
        <w:rPr>
          <w:rFonts w:cs="Arial"/>
          <w:szCs w:val="28"/>
        </w:rPr>
      </w:pPr>
      <w:r>
        <w:rPr>
          <w:rFonts w:cs="Arial"/>
          <w:szCs w:val="28"/>
        </w:rPr>
        <w:t>55-59</w:t>
      </w:r>
      <w:r w:rsidRPr="00E635A0">
        <w:rPr>
          <w:rFonts w:cs="Arial"/>
          <w:szCs w:val="28"/>
        </w:rPr>
        <w:t xml:space="preserve"> Adelaide Street</w:t>
      </w:r>
    </w:p>
    <w:p w14:paraId="6481ACB7" w14:textId="77777777" w:rsidR="00F203A9" w:rsidRPr="00E635A0" w:rsidRDefault="00F203A9" w:rsidP="00F203A9">
      <w:pPr>
        <w:rPr>
          <w:rFonts w:cs="Arial"/>
          <w:szCs w:val="28"/>
        </w:rPr>
      </w:pPr>
      <w:proofErr w:type="gramStart"/>
      <w:r w:rsidRPr="00E635A0">
        <w:rPr>
          <w:rFonts w:cs="Arial"/>
          <w:szCs w:val="28"/>
        </w:rPr>
        <w:t>Belfast  BT</w:t>
      </w:r>
      <w:proofErr w:type="gramEnd"/>
      <w:r w:rsidRPr="00E635A0">
        <w:rPr>
          <w:rFonts w:cs="Arial"/>
          <w:szCs w:val="28"/>
        </w:rPr>
        <w:t>2 8FE</w:t>
      </w:r>
    </w:p>
    <w:p w14:paraId="5DCBC218" w14:textId="77777777" w:rsidR="00F203A9" w:rsidRPr="00E635A0" w:rsidRDefault="00F203A9" w:rsidP="00F203A9">
      <w:pPr>
        <w:rPr>
          <w:rFonts w:cs="Arial"/>
          <w:szCs w:val="28"/>
        </w:rPr>
      </w:pPr>
    </w:p>
    <w:p w14:paraId="6CE1F5D9" w14:textId="77777777" w:rsidR="00F203A9" w:rsidRPr="00E635A0" w:rsidRDefault="00F203A9" w:rsidP="00F203A9">
      <w:pPr>
        <w:rPr>
          <w:rFonts w:cs="Arial"/>
          <w:szCs w:val="28"/>
        </w:rPr>
      </w:pPr>
      <w:r w:rsidRPr="00E635A0">
        <w:rPr>
          <w:rFonts w:cs="Arial"/>
          <w:szCs w:val="28"/>
        </w:rPr>
        <w:t>Telephone/Textphone: 028 9072 6020</w:t>
      </w:r>
    </w:p>
    <w:p w14:paraId="33A16B96" w14:textId="77777777" w:rsidR="00F203A9" w:rsidRPr="00891CCE" w:rsidRDefault="00F203A9" w:rsidP="00F203A9">
      <w:pPr>
        <w:rPr>
          <w:rFonts w:cs="Arial"/>
          <w:color w:val="0000FF"/>
          <w:szCs w:val="28"/>
          <w:u w:val="single"/>
        </w:rPr>
      </w:pPr>
      <w:r w:rsidRPr="00E635A0">
        <w:rPr>
          <w:rFonts w:cs="Arial"/>
          <w:szCs w:val="28"/>
        </w:rPr>
        <w:t>Email:</w:t>
      </w:r>
      <w:r w:rsidRPr="00E635A0">
        <w:rPr>
          <w:rFonts w:cs="Arial"/>
          <w:szCs w:val="28"/>
        </w:rPr>
        <w:tab/>
      </w:r>
      <w:hyperlink r:id="rId10" w:history="1">
        <w:r w:rsidRPr="00E635A0">
          <w:rPr>
            <w:rStyle w:val="Hyperlink"/>
            <w:rFonts w:cs="Arial"/>
            <w:szCs w:val="28"/>
          </w:rPr>
          <w:t>info@imtac.org.uk</w:t>
        </w:r>
      </w:hyperlink>
    </w:p>
    <w:p w14:paraId="52A926BE" w14:textId="77777777" w:rsidR="00F203A9" w:rsidRDefault="00F203A9" w:rsidP="00F203A9">
      <w:pPr>
        <w:rPr>
          <w:rFonts w:cs="Arial"/>
          <w:szCs w:val="28"/>
        </w:rPr>
      </w:pPr>
      <w:r>
        <w:rPr>
          <w:rFonts w:cs="Arial"/>
          <w:szCs w:val="28"/>
        </w:rPr>
        <w:t>Website:</w:t>
      </w:r>
      <w:r>
        <w:rPr>
          <w:rFonts w:cs="Arial"/>
          <w:szCs w:val="28"/>
        </w:rPr>
        <w:tab/>
      </w:r>
      <w:hyperlink r:id="rId11" w:history="1">
        <w:r w:rsidRPr="008645D0">
          <w:rPr>
            <w:rStyle w:val="Hyperlink"/>
            <w:rFonts w:cs="Arial"/>
            <w:szCs w:val="28"/>
          </w:rPr>
          <w:t>www.imtac.org.uk</w:t>
        </w:r>
      </w:hyperlink>
      <w:r>
        <w:rPr>
          <w:rFonts w:cs="Arial"/>
          <w:szCs w:val="28"/>
        </w:rPr>
        <w:t xml:space="preserve"> </w:t>
      </w:r>
    </w:p>
    <w:p w14:paraId="3E402B47" w14:textId="77777777" w:rsidR="00F203A9" w:rsidRPr="00E1038F" w:rsidRDefault="00F203A9" w:rsidP="00F203A9">
      <w:pPr>
        <w:rPr>
          <w:rFonts w:cs="Arial"/>
          <w:szCs w:val="28"/>
        </w:rPr>
      </w:pPr>
      <w:r w:rsidRPr="00E1038F">
        <w:rPr>
          <w:rFonts w:cs="Arial"/>
          <w:szCs w:val="28"/>
        </w:rPr>
        <w:t xml:space="preserve">Twitter: </w:t>
      </w:r>
      <w:r w:rsidRPr="00E1038F">
        <w:rPr>
          <w:rFonts w:cs="Arial"/>
          <w:szCs w:val="28"/>
        </w:rPr>
        <w:tab/>
        <w:t>@</w:t>
      </w:r>
      <w:proofErr w:type="spellStart"/>
      <w:r w:rsidRPr="00E1038F">
        <w:rPr>
          <w:rFonts w:cs="Arial"/>
          <w:szCs w:val="28"/>
        </w:rPr>
        <w:t>ImtacNI</w:t>
      </w:r>
      <w:proofErr w:type="spellEnd"/>
    </w:p>
    <w:p w14:paraId="3EC91DFB" w14:textId="77777777" w:rsidR="00F203A9" w:rsidRDefault="00F203A9" w:rsidP="00F203A9">
      <w:pPr>
        <w:rPr>
          <w:rFonts w:cs="Arial"/>
          <w:b/>
          <w:szCs w:val="28"/>
        </w:rPr>
      </w:pPr>
    </w:p>
    <w:p w14:paraId="44900232" w14:textId="77777777" w:rsidR="00F203A9" w:rsidRDefault="00F203A9" w:rsidP="00F203A9">
      <w:pPr>
        <w:rPr>
          <w:b/>
          <w:sz w:val="32"/>
          <w:szCs w:val="32"/>
        </w:rPr>
      </w:pPr>
    </w:p>
    <w:p w14:paraId="63B11419" w14:textId="77777777" w:rsidR="00F203A9" w:rsidRDefault="00F203A9" w:rsidP="00F203A9">
      <w:pPr>
        <w:rPr>
          <w:rFonts w:eastAsia="Calibri" w:cs="Courier New"/>
          <w:b/>
          <w:szCs w:val="28"/>
        </w:rPr>
      </w:pPr>
      <w:r>
        <w:rPr>
          <w:rFonts w:eastAsia="Calibri" w:cs="Courier New"/>
          <w:b/>
          <w:szCs w:val="28"/>
        </w:rPr>
        <w:br w:type="page"/>
      </w:r>
    </w:p>
    <w:p w14:paraId="1B5CFE6B" w14:textId="77777777" w:rsidR="00F203A9" w:rsidRDefault="00F203A9" w:rsidP="00F203A9">
      <w:pPr>
        <w:rPr>
          <w:rFonts w:eastAsia="Calibri" w:cs="Courier New"/>
          <w:b/>
          <w:szCs w:val="28"/>
        </w:rPr>
      </w:pPr>
      <w:r>
        <w:rPr>
          <w:rFonts w:eastAsia="Calibri" w:cs="Courier New"/>
          <w:b/>
          <w:szCs w:val="28"/>
        </w:rPr>
        <w:lastRenderedPageBreak/>
        <w:t>About Imtac</w:t>
      </w:r>
    </w:p>
    <w:p w14:paraId="59990199" w14:textId="77777777" w:rsidR="00F203A9" w:rsidRPr="005E4CE1" w:rsidRDefault="00F203A9" w:rsidP="00F203A9">
      <w:pPr>
        <w:rPr>
          <w:rFonts w:eastAsia="Calibri" w:cs="Courier New"/>
          <w:b/>
          <w:szCs w:val="28"/>
        </w:rPr>
      </w:pPr>
    </w:p>
    <w:p w14:paraId="5DDF234C" w14:textId="77777777" w:rsidR="00F203A9" w:rsidRDefault="00F203A9" w:rsidP="00F203A9">
      <w:pPr>
        <w:rPr>
          <w:rFonts w:eastAsia="Calibri" w:cs="Courier New"/>
          <w:szCs w:val="28"/>
        </w:rPr>
      </w:pPr>
      <w:r>
        <w:rPr>
          <w:rFonts w:eastAsia="Calibri" w:cs="Courier New"/>
          <w:szCs w:val="28"/>
        </w:rPr>
        <w:t>The Inclusive Mobility a</w:t>
      </w:r>
      <w:r w:rsidRPr="005E4CE1">
        <w:rPr>
          <w:rFonts w:eastAsia="Calibri" w:cs="Courier New"/>
          <w:szCs w:val="28"/>
        </w:rPr>
        <w:t xml:space="preserve">nd Transport Advisory Committee (Imtac) is a committee of disabled people and older people as well as others including </w:t>
      </w:r>
      <w:r>
        <w:rPr>
          <w:rFonts w:eastAsia="Calibri" w:cs="Courier New"/>
          <w:szCs w:val="28"/>
        </w:rPr>
        <w:t>key transport professionals.  Its</w:t>
      </w:r>
      <w:r w:rsidRPr="005E4CE1">
        <w:rPr>
          <w:rFonts w:eastAsia="Calibri" w:cs="Courier New"/>
          <w:szCs w:val="28"/>
        </w:rPr>
        <w:t xml:space="preserve"> role is to advise Government and others in Northern Ireland on issues that affect the mobility of older people and disabled people.</w:t>
      </w:r>
    </w:p>
    <w:p w14:paraId="5459F6D8" w14:textId="77777777" w:rsidR="00F203A9" w:rsidRPr="005E4CE1" w:rsidRDefault="00F203A9" w:rsidP="00F203A9">
      <w:pPr>
        <w:rPr>
          <w:rFonts w:eastAsia="Calibri" w:cs="Courier New"/>
          <w:szCs w:val="28"/>
        </w:rPr>
      </w:pPr>
    </w:p>
    <w:p w14:paraId="1A5FAD50" w14:textId="77777777" w:rsidR="00F203A9" w:rsidRDefault="00F203A9" w:rsidP="00F203A9">
      <w:pPr>
        <w:rPr>
          <w:rFonts w:eastAsia="Calibri" w:cs="Courier New"/>
          <w:szCs w:val="28"/>
        </w:rPr>
      </w:pPr>
      <w:r>
        <w:rPr>
          <w:rFonts w:eastAsia="Calibri" w:cs="Courier New"/>
          <w:szCs w:val="28"/>
        </w:rPr>
        <w:t>The</w:t>
      </w:r>
      <w:r w:rsidRPr="005E4CE1">
        <w:rPr>
          <w:rFonts w:eastAsia="Calibri" w:cs="Courier New"/>
          <w:szCs w:val="28"/>
        </w:rPr>
        <w:t xml:space="preserve"> aim</w:t>
      </w:r>
      <w:r>
        <w:rPr>
          <w:rFonts w:eastAsia="Calibri" w:cs="Courier New"/>
          <w:szCs w:val="28"/>
        </w:rPr>
        <w:t xml:space="preserve"> of Imtac</w:t>
      </w:r>
      <w:r w:rsidRPr="005E4CE1">
        <w:rPr>
          <w:rFonts w:eastAsia="Calibri" w:cs="Courier New"/>
          <w:szCs w:val="28"/>
        </w:rPr>
        <w:t xml:space="preserve"> is to ensure that disabled people and older people have the same opportunities as everyone else to travel when and where they want.</w:t>
      </w:r>
    </w:p>
    <w:p w14:paraId="63889EAB" w14:textId="77777777" w:rsidR="00F203A9" w:rsidRPr="005E4CE1" w:rsidRDefault="00F203A9" w:rsidP="00F203A9">
      <w:pPr>
        <w:rPr>
          <w:rFonts w:eastAsia="Calibri" w:cs="Courier New"/>
          <w:szCs w:val="28"/>
        </w:rPr>
      </w:pPr>
    </w:p>
    <w:p w14:paraId="0B3BE057" w14:textId="77777777" w:rsidR="00F203A9" w:rsidRPr="005E4CE1" w:rsidRDefault="00F203A9" w:rsidP="00F203A9">
      <w:pPr>
        <w:rPr>
          <w:rFonts w:eastAsia="Calibri" w:cs="Courier New"/>
          <w:szCs w:val="28"/>
        </w:rPr>
      </w:pPr>
      <w:r w:rsidRPr="005E4CE1">
        <w:rPr>
          <w:rFonts w:eastAsia="Calibri" w:cs="Courier New"/>
          <w:szCs w:val="28"/>
        </w:rPr>
        <w:t>Imtac receives support from the Department for Infrastructure (herein after referred to as the Department).</w:t>
      </w:r>
    </w:p>
    <w:p w14:paraId="131A1165" w14:textId="77777777" w:rsidR="008D180F" w:rsidRDefault="008D180F">
      <w:pPr>
        <w:rPr>
          <w:b/>
        </w:rPr>
      </w:pPr>
    </w:p>
    <w:p w14:paraId="6A1A1479" w14:textId="77777777" w:rsidR="00F203A9" w:rsidRDefault="00F203A9">
      <w:pPr>
        <w:rPr>
          <w:b/>
        </w:rPr>
      </w:pPr>
    </w:p>
    <w:p w14:paraId="05905C6C" w14:textId="77777777" w:rsidR="00D258BC" w:rsidRPr="00F203A9" w:rsidRDefault="00D258BC">
      <w:pPr>
        <w:rPr>
          <w:b/>
        </w:rPr>
      </w:pPr>
      <w:r w:rsidRPr="00F203A9">
        <w:rPr>
          <w:b/>
        </w:rPr>
        <w:t>Introduction</w:t>
      </w:r>
    </w:p>
    <w:p w14:paraId="0E365562" w14:textId="77777777" w:rsidR="00D258BC" w:rsidRDefault="00D258BC">
      <w:pPr>
        <w:rPr>
          <w:u w:val="single"/>
        </w:rPr>
      </w:pPr>
    </w:p>
    <w:p w14:paraId="55764247" w14:textId="77777777" w:rsidR="00D258BC" w:rsidRPr="00D258BC" w:rsidRDefault="00D258BC">
      <w:r w:rsidRPr="00D258BC">
        <w:t xml:space="preserve">Imtac has developed this statement in response to the current crisis created by the COVID-19 virus. It sets out </w:t>
      </w:r>
      <w:r>
        <w:t xml:space="preserve">how COVID-19 </w:t>
      </w:r>
      <w:r w:rsidR="00F63249">
        <w:t>(</w:t>
      </w:r>
      <w:r>
        <w:t>and the measures taken to combat it</w:t>
      </w:r>
      <w:r w:rsidR="00F63249">
        <w:t>)</w:t>
      </w:r>
      <w:r>
        <w:t xml:space="preserve"> have impacted on the lives of disabled people and older people as well as the principles the Committee believes Government in Northern Ireland must adopt as we </w:t>
      </w:r>
      <w:r w:rsidR="00F63249">
        <w:t>learn to</w:t>
      </w:r>
      <w:r>
        <w:t xml:space="preserve"> live with the virus for the foreseeable future.</w:t>
      </w:r>
    </w:p>
    <w:p w14:paraId="34D9880B" w14:textId="77777777" w:rsidR="00D258BC" w:rsidRDefault="00D258BC">
      <w:pPr>
        <w:rPr>
          <w:u w:val="single"/>
        </w:rPr>
      </w:pPr>
    </w:p>
    <w:p w14:paraId="1844D734" w14:textId="77777777" w:rsidR="00F203A9" w:rsidRDefault="00F203A9">
      <w:pPr>
        <w:rPr>
          <w:u w:val="single"/>
        </w:rPr>
      </w:pPr>
    </w:p>
    <w:p w14:paraId="2400AB20" w14:textId="77777777" w:rsidR="009A11E0" w:rsidRPr="00F203A9" w:rsidRDefault="009A11E0">
      <w:pPr>
        <w:rPr>
          <w:b/>
        </w:rPr>
      </w:pPr>
      <w:r w:rsidRPr="00F203A9">
        <w:rPr>
          <w:b/>
        </w:rPr>
        <w:t>Impact of COVID-19 on disabled people and older people</w:t>
      </w:r>
    </w:p>
    <w:p w14:paraId="48B1BE2B" w14:textId="77777777" w:rsidR="009A11E0" w:rsidRDefault="009A11E0">
      <w:pPr>
        <w:rPr>
          <w:u w:val="single"/>
        </w:rPr>
      </w:pPr>
    </w:p>
    <w:p w14:paraId="65D965C4" w14:textId="77777777" w:rsidR="00D258BC" w:rsidRDefault="009A11E0">
      <w:r>
        <w:t xml:space="preserve">Imtac recognises that COVID-19 has had a major disruptive, and in some cases </w:t>
      </w:r>
      <w:r w:rsidR="00D258BC">
        <w:t xml:space="preserve">a </w:t>
      </w:r>
      <w:r>
        <w:t>tragic, impact on every household in Northern Ireland.</w:t>
      </w:r>
      <w:r w:rsidR="00636B25">
        <w:t xml:space="preserve"> </w:t>
      </w:r>
      <w:r>
        <w:t xml:space="preserve">For many disabled people, older </w:t>
      </w:r>
      <w:proofErr w:type="gramStart"/>
      <w:r>
        <w:t>people</w:t>
      </w:r>
      <w:proofErr w:type="gramEnd"/>
      <w:r>
        <w:t xml:space="preserve"> and carers the impact of COVID-19</w:t>
      </w:r>
      <w:r w:rsidR="00FC51C7">
        <w:t xml:space="preserve"> and the subsequent lockdown measures have</w:t>
      </w:r>
      <w:r>
        <w:t xml:space="preserve"> been particularly acute. </w:t>
      </w:r>
    </w:p>
    <w:p w14:paraId="6021EA7D" w14:textId="77777777" w:rsidR="00D258BC" w:rsidRDefault="00D258BC"/>
    <w:p w14:paraId="102DB8E5" w14:textId="77777777" w:rsidR="009A11E0" w:rsidRDefault="009A11E0">
      <w:r>
        <w:t>These impacts include:</w:t>
      </w:r>
    </w:p>
    <w:p w14:paraId="451AE9DB" w14:textId="77777777" w:rsidR="009A11E0" w:rsidRDefault="009A11E0"/>
    <w:p w14:paraId="348A4708" w14:textId="77777777" w:rsidR="009A11E0" w:rsidRDefault="009A11E0" w:rsidP="008559B0">
      <w:pPr>
        <w:pStyle w:val="ListParagraph"/>
        <w:numPr>
          <w:ilvl w:val="0"/>
          <w:numId w:val="1"/>
        </w:numPr>
      </w:pPr>
      <w:r>
        <w:t>Many older peo</w:t>
      </w:r>
      <w:r w:rsidR="00FC51C7">
        <w:t xml:space="preserve">ple and disabled people being at </w:t>
      </w:r>
      <w:r>
        <w:t>greater risk from</w:t>
      </w:r>
      <w:r w:rsidR="00FC51C7">
        <w:t xml:space="preserve"> the virus compared to</w:t>
      </w:r>
      <w:r>
        <w:t xml:space="preserve"> the rest of the population.</w:t>
      </w:r>
      <w:r w:rsidR="008559B0">
        <w:t xml:space="preserve"> D</w:t>
      </w:r>
      <w:r w:rsidR="00D258BC">
        <w:t xml:space="preserve">ebate </w:t>
      </w:r>
      <w:r w:rsidR="008559B0">
        <w:t>about</w:t>
      </w:r>
      <w:r w:rsidR="00D258BC">
        <w:t xml:space="preserve"> </w:t>
      </w:r>
      <w:r w:rsidR="000E7EDD">
        <w:t>limiting</w:t>
      </w:r>
      <w:r w:rsidR="008559B0">
        <w:t xml:space="preserve"> access to COVID-19</w:t>
      </w:r>
      <w:r w:rsidR="000E7EDD">
        <w:t xml:space="preserve"> hospital</w:t>
      </w:r>
      <w:r w:rsidR="008559B0">
        <w:t xml:space="preserve"> treatment</w:t>
      </w:r>
      <w:r w:rsidR="000E7EDD">
        <w:t xml:space="preserve"> and more broadly hospital admissions</w:t>
      </w:r>
      <w:r w:rsidR="008559B0">
        <w:t xml:space="preserve"> has </w:t>
      </w:r>
      <w:r w:rsidR="00F61017">
        <w:t>added</w:t>
      </w:r>
      <w:r w:rsidR="008559B0">
        <w:t xml:space="preserve"> </w:t>
      </w:r>
      <w:r w:rsidR="00D258BC">
        <w:t>significant</w:t>
      </w:r>
      <w:r w:rsidR="00F61017">
        <w:t>ly to</w:t>
      </w:r>
      <w:r w:rsidR="00D258BC">
        <w:t xml:space="preserve"> </w:t>
      </w:r>
      <w:r w:rsidR="008559B0">
        <w:t>anxiety for many older people</w:t>
      </w:r>
      <w:r w:rsidR="00D258BC">
        <w:t xml:space="preserve">, </w:t>
      </w:r>
      <w:r w:rsidR="008559B0">
        <w:t>disabled people</w:t>
      </w:r>
      <w:r w:rsidR="00D258BC">
        <w:t xml:space="preserve"> and carers.</w:t>
      </w:r>
    </w:p>
    <w:p w14:paraId="37D3DAE5" w14:textId="77777777" w:rsidR="00FC51C7" w:rsidRDefault="00FC51C7"/>
    <w:p w14:paraId="558146A0" w14:textId="77777777" w:rsidR="00FC51C7" w:rsidRDefault="00FC51C7" w:rsidP="008559B0">
      <w:pPr>
        <w:pStyle w:val="ListParagraph"/>
        <w:numPr>
          <w:ilvl w:val="0"/>
          <w:numId w:val="1"/>
        </w:numPr>
      </w:pPr>
      <w:r>
        <w:lastRenderedPageBreak/>
        <w:t xml:space="preserve">A removal / reduction of access to </w:t>
      </w:r>
      <w:r w:rsidR="00E61673">
        <w:t xml:space="preserve">the </w:t>
      </w:r>
      <w:r>
        <w:t>key services and support many</w:t>
      </w:r>
      <w:r w:rsidR="00D258BC">
        <w:t xml:space="preserve"> older people and disabled people</w:t>
      </w:r>
      <w:r>
        <w:t xml:space="preserve"> rely on for independent living including access to food and other supplies, access to health services, access to education services and access to social care</w:t>
      </w:r>
      <w:r w:rsidR="00D258BC">
        <w:t xml:space="preserve"> and support</w:t>
      </w:r>
      <w:r>
        <w:t xml:space="preserve"> services.</w:t>
      </w:r>
    </w:p>
    <w:p w14:paraId="5B7F543F" w14:textId="77777777" w:rsidR="00FC51C7" w:rsidRDefault="00FC51C7"/>
    <w:p w14:paraId="3ECFD2D9" w14:textId="77777777" w:rsidR="00FC51C7" w:rsidRDefault="00FC51C7" w:rsidP="008559B0">
      <w:pPr>
        <w:pStyle w:val="ListParagraph"/>
        <w:numPr>
          <w:ilvl w:val="0"/>
          <w:numId w:val="1"/>
        </w:numPr>
      </w:pPr>
      <w:r>
        <w:t>A major impact on the finances of many households including loss of employment and other reductions in household incomes. Many older people</w:t>
      </w:r>
      <w:r w:rsidR="00D258BC">
        <w:t xml:space="preserve">, </w:t>
      </w:r>
      <w:r>
        <w:t>disabled people</w:t>
      </w:r>
      <w:r w:rsidR="00D258BC">
        <w:t xml:space="preserve"> and carers</w:t>
      </w:r>
      <w:r>
        <w:t xml:space="preserve"> have face</w:t>
      </w:r>
      <w:r w:rsidR="00D258BC">
        <w:t>d</w:t>
      </w:r>
      <w:r>
        <w:t xml:space="preserve"> add</w:t>
      </w:r>
      <w:r w:rsidR="00D258BC">
        <w:t>itional</w:t>
      </w:r>
      <w:r>
        <w:t xml:space="preserve"> costs associated</w:t>
      </w:r>
      <w:r w:rsidR="008559B0">
        <w:t xml:space="preserve"> with being at home all</w:t>
      </w:r>
      <w:r w:rsidR="0070286D">
        <w:t xml:space="preserve"> the</w:t>
      </w:r>
      <w:r w:rsidR="008559B0">
        <w:t xml:space="preserve"> time.</w:t>
      </w:r>
    </w:p>
    <w:p w14:paraId="45D8A021" w14:textId="77777777" w:rsidR="008559B0" w:rsidRDefault="008559B0"/>
    <w:p w14:paraId="2283EEE7" w14:textId="77777777" w:rsidR="008559B0" w:rsidRDefault="008559B0" w:rsidP="008559B0">
      <w:pPr>
        <w:pStyle w:val="ListParagraph"/>
        <w:numPr>
          <w:ilvl w:val="0"/>
          <w:numId w:val="1"/>
        </w:numPr>
      </w:pPr>
      <w:r>
        <w:t>The impact of self-isolatio</w:t>
      </w:r>
      <w:r w:rsidR="0070286D">
        <w:t>n on the health and wellbeing of</w:t>
      </w:r>
      <w:r>
        <w:t xml:space="preserve"> many older people, disabled people and carers with </w:t>
      </w:r>
      <w:r w:rsidR="002140C1">
        <w:t>previous</w:t>
      </w:r>
      <w:r>
        <w:t xml:space="preserve"> support mechanisms</w:t>
      </w:r>
      <w:r w:rsidR="00051543">
        <w:t>,</w:t>
      </w:r>
      <w:r>
        <w:t xml:space="preserve"> such as reliance on other family members</w:t>
      </w:r>
      <w:r w:rsidR="00051543">
        <w:t>,</w:t>
      </w:r>
      <w:r>
        <w:t xml:space="preserve"> disrupted.</w:t>
      </w:r>
    </w:p>
    <w:p w14:paraId="3A70D063" w14:textId="77777777" w:rsidR="008559B0" w:rsidRDefault="008559B0"/>
    <w:p w14:paraId="14F72FD9" w14:textId="77777777" w:rsidR="008559B0" w:rsidRDefault="008559B0" w:rsidP="008559B0">
      <w:pPr>
        <w:pStyle w:val="ListParagraph"/>
        <w:numPr>
          <w:ilvl w:val="0"/>
          <w:numId w:val="1"/>
        </w:numPr>
      </w:pPr>
      <w:r>
        <w:t>Barriers</w:t>
      </w:r>
      <w:r w:rsidR="0070286D">
        <w:t xml:space="preserve"> </w:t>
      </w:r>
      <w:r w:rsidR="00051543">
        <w:t xml:space="preserve">to taking exercise </w:t>
      </w:r>
      <w:r w:rsidR="0070286D">
        <w:t>created</w:t>
      </w:r>
      <w:r>
        <w:t xml:space="preserve"> for some disabled people, older people and carers due </w:t>
      </w:r>
      <w:r w:rsidR="00051543">
        <w:t xml:space="preserve">to </w:t>
      </w:r>
      <w:r>
        <w:t>the measures introduced to discourage travel and gatherings.</w:t>
      </w:r>
    </w:p>
    <w:p w14:paraId="69F34F0D" w14:textId="77777777" w:rsidR="007D39AC" w:rsidRDefault="007D39AC" w:rsidP="007D39AC"/>
    <w:p w14:paraId="362CA0E8" w14:textId="77777777" w:rsidR="007D39AC" w:rsidRPr="007D39AC" w:rsidRDefault="007D39AC" w:rsidP="007D39AC">
      <w:pPr>
        <w:pStyle w:val="ListParagraph"/>
        <w:numPr>
          <w:ilvl w:val="0"/>
          <w:numId w:val="1"/>
        </w:numPr>
      </w:pPr>
      <w:r w:rsidRPr="007D39AC">
        <w:t>The introduction of social / physical distancing measures has created barriers within the built environment and has limited physical access to essential services for some disabled people and older people</w:t>
      </w:r>
    </w:p>
    <w:p w14:paraId="6925AF6F" w14:textId="77777777" w:rsidR="008559B0" w:rsidRDefault="008559B0" w:rsidP="007D39AC">
      <w:pPr>
        <w:pStyle w:val="ListParagraph"/>
      </w:pPr>
    </w:p>
    <w:p w14:paraId="65C81648" w14:textId="77777777" w:rsidR="008559B0" w:rsidRDefault="00FA19EF" w:rsidP="008559B0">
      <w:pPr>
        <w:pStyle w:val="ListParagraph"/>
        <w:numPr>
          <w:ilvl w:val="0"/>
          <w:numId w:val="1"/>
        </w:numPr>
      </w:pPr>
      <w:r>
        <w:t>C</w:t>
      </w:r>
      <w:r w:rsidR="0070286D">
        <w:t>onfusion around who is required to shield / self-isolate</w:t>
      </w:r>
      <w:r w:rsidR="00D258BC">
        <w:t xml:space="preserve">, </w:t>
      </w:r>
      <w:r>
        <w:t>the</w:t>
      </w:r>
      <w:r w:rsidR="0070286D">
        <w:t xml:space="preserve"> support</w:t>
      </w:r>
      <w:r>
        <w:t xml:space="preserve"> that</w:t>
      </w:r>
      <w:r w:rsidR="0070286D">
        <w:t xml:space="preserve"> is available</w:t>
      </w:r>
      <w:r w:rsidR="00D258BC">
        <w:t xml:space="preserve"> </w:t>
      </w:r>
      <w:r w:rsidR="00500F53">
        <w:t xml:space="preserve">to them </w:t>
      </w:r>
      <w:r w:rsidR="00D258BC">
        <w:t>and who is eligible</w:t>
      </w:r>
      <w:r w:rsidR="0070286D">
        <w:t>.</w:t>
      </w:r>
    </w:p>
    <w:p w14:paraId="480BA3A5" w14:textId="77777777" w:rsidR="002140C1" w:rsidRDefault="002140C1" w:rsidP="002140C1">
      <w:pPr>
        <w:pStyle w:val="ListParagraph"/>
      </w:pPr>
    </w:p>
    <w:p w14:paraId="0191C278" w14:textId="77777777" w:rsidR="002140C1" w:rsidRDefault="002140C1" w:rsidP="008559B0">
      <w:pPr>
        <w:pStyle w:val="ListParagraph"/>
        <w:numPr>
          <w:ilvl w:val="0"/>
          <w:numId w:val="1"/>
        </w:numPr>
      </w:pPr>
      <w:r>
        <w:t>Barriers created by higher levels of digital exclusion amongst older people and disabled people</w:t>
      </w:r>
      <w:r w:rsidR="00FA19EF">
        <w:t xml:space="preserve"> and barriers created by poor digital infrastructure in some rural areas</w:t>
      </w:r>
      <w:r>
        <w:t>.</w:t>
      </w:r>
    </w:p>
    <w:p w14:paraId="4FDE1AAF" w14:textId="77777777" w:rsidR="0070286D" w:rsidRDefault="0070286D" w:rsidP="0070286D"/>
    <w:p w14:paraId="16B2820C" w14:textId="77777777" w:rsidR="00F203A9" w:rsidRDefault="00F203A9" w:rsidP="0070286D"/>
    <w:p w14:paraId="5933B676" w14:textId="77777777" w:rsidR="0070286D" w:rsidRPr="00F203A9" w:rsidRDefault="0070286D" w:rsidP="0070286D">
      <w:pPr>
        <w:rPr>
          <w:b/>
        </w:rPr>
      </w:pPr>
      <w:r w:rsidRPr="00F203A9">
        <w:rPr>
          <w:b/>
        </w:rPr>
        <w:t>Initial response to COVID-19 in Northern Ireland</w:t>
      </w:r>
    </w:p>
    <w:p w14:paraId="2FEBBE3C" w14:textId="77777777" w:rsidR="0070286D" w:rsidRDefault="0070286D" w:rsidP="0070286D">
      <w:pPr>
        <w:rPr>
          <w:u w:val="single"/>
        </w:rPr>
      </w:pPr>
    </w:p>
    <w:p w14:paraId="01EDD6D2" w14:textId="77777777" w:rsidR="0019771B" w:rsidRDefault="0070286D">
      <w:r>
        <w:t xml:space="preserve">Imtac recognises </w:t>
      </w:r>
      <w:r w:rsidR="00F66A61">
        <w:t>the scale and unprecedented nature of the challenge faced by Government in Northern Ireland when lockdown was introduced suddenly in March 2020. The Committee commends the swift response by all Ministers and Departments in introducing a series of emergency measures designed to support individuals and communities to cope in extraordinary t</w:t>
      </w:r>
      <w:r w:rsidR="00090A7A">
        <w:t>imes.</w:t>
      </w:r>
      <w:r w:rsidR="002140C1">
        <w:t xml:space="preserve"> </w:t>
      </w:r>
    </w:p>
    <w:p w14:paraId="1C56F3A8" w14:textId="77777777" w:rsidR="0019771B" w:rsidRDefault="0019771B"/>
    <w:p w14:paraId="4ECE44CE" w14:textId="77777777" w:rsidR="00D85863" w:rsidRDefault="0019771B">
      <w:r>
        <w:t xml:space="preserve">Given the </w:t>
      </w:r>
      <w:r w:rsidR="00FC28D2">
        <w:t xml:space="preserve">urgency </w:t>
      </w:r>
      <w:r w:rsidR="00500F53">
        <w:t xml:space="preserve">that was </w:t>
      </w:r>
      <w:r w:rsidR="00FC28D2">
        <w:t>required</w:t>
      </w:r>
      <w:r w:rsidR="002140C1">
        <w:t xml:space="preserve"> </w:t>
      </w:r>
      <w:r w:rsidR="00FC28D2">
        <w:t xml:space="preserve">it is perhaps inevitable that not every issue or concern has been addressed. </w:t>
      </w:r>
      <w:r w:rsidR="00F61017">
        <w:t>However,</w:t>
      </w:r>
      <w:r>
        <w:t xml:space="preserve"> the Committee believes there are many</w:t>
      </w:r>
      <w:r w:rsidR="00FC28D2">
        <w:t xml:space="preserve"> more</w:t>
      </w:r>
      <w:r>
        <w:t xml:space="preserve"> positives</w:t>
      </w:r>
      <w:r w:rsidR="00FC28D2">
        <w:t xml:space="preserve"> than negatives</w:t>
      </w:r>
      <w:r>
        <w:t xml:space="preserve"> to be </w:t>
      </w:r>
      <w:r w:rsidR="00FC28D2">
        <w:t>taken</w:t>
      </w:r>
      <w:r>
        <w:t xml:space="preserve"> from the response</w:t>
      </w:r>
      <w:r w:rsidR="003B654F">
        <w:t xml:space="preserve"> in Northern Ireland,</w:t>
      </w:r>
      <w:r>
        <w:t xml:space="preserve"> including partnership working across statutory, community and business sectors and a flexibility of response rarely seen in more normal times. From the</w:t>
      </w:r>
      <w:r w:rsidR="003B654F">
        <w:t xml:space="preserve"> Committee</w:t>
      </w:r>
      <w:r w:rsidR="00500F53">
        <w:t>’</w:t>
      </w:r>
      <w:r w:rsidR="003B654F">
        <w:t>s</w:t>
      </w:r>
      <w:r>
        <w:t xml:space="preserve"> perspective it is essential that this flexibility </w:t>
      </w:r>
      <w:r w:rsidR="00500F53">
        <w:t>is</w:t>
      </w:r>
      <w:r>
        <w:t xml:space="preserve"> retained as we move forward to the next phase of dealing with the pandemic.</w:t>
      </w:r>
    </w:p>
    <w:p w14:paraId="5A327C55" w14:textId="77777777" w:rsidR="00D85863" w:rsidRDefault="00D85863"/>
    <w:p w14:paraId="5DD8BF7D" w14:textId="77777777" w:rsidR="008559B0" w:rsidRDefault="00090A7A">
      <w:r>
        <w:t xml:space="preserve">The Committee wishes to record </w:t>
      </w:r>
      <w:r w:rsidR="00712837">
        <w:t>its</w:t>
      </w:r>
      <w:r>
        <w:t xml:space="preserve"> </w:t>
      </w:r>
      <w:r w:rsidR="00D85863">
        <w:t xml:space="preserve">gratitude </w:t>
      </w:r>
      <w:r w:rsidR="007A38F2">
        <w:t xml:space="preserve">to </w:t>
      </w:r>
      <w:r w:rsidR="00D85863">
        <w:t xml:space="preserve">all involved </w:t>
      </w:r>
      <w:r>
        <w:t xml:space="preserve">in the development and delivery of the emergency response </w:t>
      </w:r>
      <w:r w:rsidR="002140C1">
        <w:t xml:space="preserve">including </w:t>
      </w:r>
      <w:r w:rsidR="00D85863">
        <w:t>the</w:t>
      </w:r>
      <w:r w:rsidR="003B654F">
        <w:t xml:space="preserve"> </w:t>
      </w:r>
      <w:r w:rsidR="00D85863">
        <w:t>essential workers</w:t>
      </w:r>
      <w:r>
        <w:t xml:space="preserve"> </w:t>
      </w:r>
      <w:r w:rsidR="006E0A14">
        <w:t xml:space="preserve">from </w:t>
      </w:r>
      <w:r w:rsidR="003B654F">
        <w:t>public and community transport</w:t>
      </w:r>
      <w:r>
        <w:t xml:space="preserve"> </w:t>
      </w:r>
      <w:r w:rsidR="00D85863">
        <w:t>and</w:t>
      </w:r>
      <w:r>
        <w:t>,</w:t>
      </w:r>
      <w:r w:rsidR="00D85863">
        <w:t xml:space="preserve"> </w:t>
      </w:r>
      <w:r>
        <w:t xml:space="preserve">of course, our healthcare workers who have been in the frontline fighting COVID-19. </w:t>
      </w:r>
    </w:p>
    <w:p w14:paraId="5F370CDA" w14:textId="77777777" w:rsidR="00F61017" w:rsidRDefault="00F61017"/>
    <w:p w14:paraId="5DF4FD5B" w14:textId="77777777" w:rsidR="00F203A9" w:rsidRDefault="00F203A9"/>
    <w:p w14:paraId="1AA8770F" w14:textId="77777777" w:rsidR="00090A7A" w:rsidRPr="00F203A9" w:rsidRDefault="00090A7A">
      <w:pPr>
        <w:rPr>
          <w:b/>
        </w:rPr>
      </w:pPr>
      <w:r w:rsidRPr="00F203A9">
        <w:rPr>
          <w:b/>
        </w:rPr>
        <w:t>Living with COVID-19 – “The New Normal”</w:t>
      </w:r>
    </w:p>
    <w:p w14:paraId="4BEC3C9C" w14:textId="77777777" w:rsidR="00090A7A" w:rsidRDefault="00090A7A">
      <w:pPr>
        <w:rPr>
          <w:u w:val="single"/>
        </w:rPr>
      </w:pPr>
    </w:p>
    <w:p w14:paraId="40DE156C" w14:textId="77777777" w:rsidR="0019771B" w:rsidRDefault="00090A7A">
      <w:r>
        <w:t xml:space="preserve">It is increasingly clear that we will be living with COVID-19 and all its implications for the foreseeable future and that </w:t>
      </w:r>
      <w:r w:rsidR="0019771B">
        <w:t>the virus will continue to</w:t>
      </w:r>
      <w:r>
        <w:t xml:space="preserve"> have severe impacts on </w:t>
      </w:r>
      <w:r w:rsidR="0019771B">
        <w:t>the</w:t>
      </w:r>
      <w:r>
        <w:t xml:space="preserve"> day to day lives</w:t>
      </w:r>
      <w:r w:rsidR="0019771B">
        <w:t xml:space="preserve"> of everyone</w:t>
      </w:r>
      <w:r>
        <w:t>.</w:t>
      </w:r>
      <w:r w:rsidR="0019771B">
        <w:t xml:space="preserve"> The scale of the challenges for Government and society adapting to the “new normal” are immense. For many disabled people, older people</w:t>
      </w:r>
      <w:r w:rsidR="00295818">
        <w:t xml:space="preserve"> and</w:t>
      </w:r>
      <w:r w:rsidR="0019771B">
        <w:t xml:space="preserve"> carers the “old normal” often did not work for them and </w:t>
      </w:r>
      <w:r>
        <w:t xml:space="preserve">Imtac has major concerns that disabled people, older people and carers </w:t>
      </w:r>
      <w:r w:rsidR="00A01F45">
        <w:t>may</w:t>
      </w:r>
      <w:r w:rsidR="00FA19EF">
        <w:t xml:space="preserve"> potentially</w:t>
      </w:r>
      <w:r w:rsidR="00A01F45">
        <w:t xml:space="preserve"> </w:t>
      </w:r>
      <w:r>
        <w:t>be left behind</w:t>
      </w:r>
      <w:r w:rsidR="00A01F45">
        <w:t xml:space="preserve"> as we emerge from the current lockdown phase of the pandemic. </w:t>
      </w:r>
    </w:p>
    <w:p w14:paraId="22E8A787" w14:textId="77777777" w:rsidR="0019771B" w:rsidRDefault="0019771B"/>
    <w:p w14:paraId="526FB0F8" w14:textId="1111A853" w:rsidR="003B654F" w:rsidRDefault="003B654F">
      <w:r>
        <w:t>The Committee believes</w:t>
      </w:r>
      <w:r w:rsidR="0019771B">
        <w:t xml:space="preserve"> it is essential that </w:t>
      </w:r>
      <w:r w:rsidR="00827F47">
        <w:t>Government</w:t>
      </w:r>
      <w:r w:rsidR="0019771B">
        <w:t xml:space="preserve"> in Northern Ireland develop</w:t>
      </w:r>
      <w:r w:rsidR="003A1D4E">
        <w:t>s</w:t>
      </w:r>
      <w:r w:rsidR="0019771B">
        <w:t xml:space="preserve"> </w:t>
      </w:r>
      <w:r w:rsidR="00FC28D2">
        <w:t xml:space="preserve">an </w:t>
      </w:r>
      <w:r w:rsidR="0019771B">
        <w:t>inclusive response</w:t>
      </w:r>
      <w:r w:rsidR="00FC28D2">
        <w:t xml:space="preserve"> to next phase of dealing with COVID-19</w:t>
      </w:r>
      <w:r w:rsidR="00E62F7C">
        <w:t xml:space="preserve">, building on </w:t>
      </w:r>
      <w:r w:rsidR="00FA19EF">
        <w:t xml:space="preserve">existing </w:t>
      </w:r>
      <w:r w:rsidR="00E62F7C">
        <w:t>support for those who may continue to need to self-isolate whilst ensuring others are able to undertake daily activities are restrictions are eased</w:t>
      </w:r>
      <w:r w:rsidR="00FC28D2">
        <w:t xml:space="preserve">. </w:t>
      </w:r>
      <w:r>
        <w:t xml:space="preserve">Central to developing an inclusive </w:t>
      </w:r>
      <w:r w:rsidR="00A26069" w:rsidRPr="00A26069">
        <w:t>response to COVID-19 must be asses</w:t>
      </w:r>
      <w:r>
        <w:t>sing plans and actions</w:t>
      </w:r>
      <w:r w:rsidR="00A26069" w:rsidRPr="00A26069">
        <w:t xml:space="preserve"> against the human rights and freedoms set out in each of the articles of UN Convention on the Rights of People with Disabilities (UNCRPD).</w:t>
      </w:r>
      <w:r w:rsidR="00A26069" w:rsidRPr="00A26069">
        <w:rPr>
          <w:rStyle w:val="FootnoteReference"/>
        </w:rPr>
        <w:footnoteReference w:id="1"/>
      </w:r>
      <w:r w:rsidR="00A26069">
        <w:t xml:space="preserve"> </w:t>
      </w:r>
    </w:p>
    <w:p w14:paraId="21E50C83" w14:textId="77777777" w:rsidR="003B654F" w:rsidRDefault="003B654F"/>
    <w:p w14:paraId="6B1DBF13" w14:textId="77777777" w:rsidR="0019771B" w:rsidRDefault="003B654F">
      <w:r>
        <w:lastRenderedPageBreak/>
        <w:t xml:space="preserve">Each of the Articles of UNCRPD </w:t>
      </w:r>
      <w:r w:rsidR="00E62F7C">
        <w:t>is</w:t>
      </w:r>
      <w:r>
        <w:t xml:space="preserve"> important in their own right. However Imtac has identified the following </w:t>
      </w:r>
      <w:r w:rsidR="00FA19EF">
        <w:t>five matters as its priorities</w:t>
      </w:r>
      <w:r w:rsidR="00E62F7C">
        <w:t xml:space="preserve"> in responding to COVID-19:</w:t>
      </w:r>
    </w:p>
    <w:p w14:paraId="6F3832A9" w14:textId="77777777" w:rsidR="00090A7A" w:rsidRDefault="00090A7A"/>
    <w:p w14:paraId="59FC79D9" w14:textId="77777777" w:rsidR="002D58DB" w:rsidRPr="00A26069" w:rsidRDefault="00F203A9" w:rsidP="005E25F9">
      <w:pPr>
        <w:pStyle w:val="ListParagraph"/>
        <w:numPr>
          <w:ilvl w:val="0"/>
          <w:numId w:val="2"/>
        </w:numPr>
        <w:rPr>
          <w:b/>
        </w:rPr>
      </w:pPr>
      <w:r>
        <w:rPr>
          <w:b/>
        </w:rPr>
        <w:t>Building on the recent endorsement of key principles by the Minister for Health</w:t>
      </w:r>
      <w:r>
        <w:rPr>
          <w:rStyle w:val="FootnoteReference"/>
          <w:b/>
        </w:rPr>
        <w:footnoteReference w:id="2"/>
      </w:r>
      <w:r>
        <w:rPr>
          <w:b/>
        </w:rPr>
        <w:t xml:space="preserve">, Government must maintain a </w:t>
      </w:r>
      <w:r w:rsidRPr="005E25F9">
        <w:rPr>
          <w:b/>
        </w:rPr>
        <w:t>commitment</w:t>
      </w:r>
      <w:r w:rsidR="00FC0A60" w:rsidRPr="005E25F9">
        <w:rPr>
          <w:b/>
        </w:rPr>
        <w:t xml:space="preserve"> to upholding Article</w:t>
      </w:r>
      <w:r w:rsidR="005E25F9">
        <w:rPr>
          <w:b/>
        </w:rPr>
        <w:t>s</w:t>
      </w:r>
      <w:r w:rsidR="00FC0A60" w:rsidRPr="005E25F9">
        <w:rPr>
          <w:b/>
        </w:rPr>
        <w:t xml:space="preserve"> 10</w:t>
      </w:r>
      <w:r w:rsidR="00F63249">
        <w:rPr>
          <w:rStyle w:val="FootnoteReference"/>
          <w:b/>
        </w:rPr>
        <w:footnoteReference w:id="3"/>
      </w:r>
      <w:r w:rsidR="00FC0A60" w:rsidRPr="005E25F9">
        <w:rPr>
          <w:b/>
        </w:rPr>
        <w:t xml:space="preserve"> (Right to Life) and 25</w:t>
      </w:r>
      <w:r w:rsidR="00F63249">
        <w:rPr>
          <w:rStyle w:val="FootnoteReference"/>
          <w:b/>
        </w:rPr>
        <w:footnoteReference w:id="4"/>
      </w:r>
      <w:r w:rsidR="00FC0A60" w:rsidRPr="005E25F9">
        <w:rPr>
          <w:b/>
        </w:rPr>
        <w:t xml:space="preserve"> (Health)</w:t>
      </w:r>
      <w:r w:rsidR="005E25F9">
        <w:rPr>
          <w:b/>
        </w:rPr>
        <w:t xml:space="preserve"> of UNCRPD</w:t>
      </w:r>
      <w:r w:rsidR="00FC0A60" w:rsidRPr="005E25F9">
        <w:rPr>
          <w:b/>
        </w:rPr>
        <w:t xml:space="preserve"> in its approach to dealing with COVID-19</w:t>
      </w:r>
      <w:r w:rsidR="005E25F9">
        <w:rPr>
          <w:b/>
        </w:rPr>
        <w:t>, providing disabled people</w:t>
      </w:r>
      <w:r w:rsidR="00F61017">
        <w:rPr>
          <w:b/>
        </w:rPr>
        <w:t xml:space="preserve">, older people and carers with </w:t>
      </w:r>
      <w:r w:rsidR="00F61017" w:rsidRPr="00A26069">
        <w:rPr>
          <w:b/>
        </w:rPr>
        <w:t>re</w:t>
      </w:r>
      <w:r w:rsidR="005E25F9" w:rsidRPr="00A26069">
        <w:rPr>
          <w:b/>
        </w:rPr>
        <w:t>assurance they will have equal access to</w:t>
      </w:r>
      <w:r w:rsidR="008D180F">
        <w:rPr>
          <w:b/>
        </w:rPr>
        <w:t xml:space="preserve"> hospital</w:t>
      </w:r>
      <w:r w:rsidR="005E25F9" w:rsidRPr="00A26069">
        <w:rPr>
          <w:b/>
        </w:rPr>
        <w:t xml:space="preserve"> treatment and health services.</w:t>
      </w:r>
    </w:p>
    <w:p w14:paraId="45DB6ECC" w14:textId="77777777" w:rsidR="00FC0A60" w:rsidRDefault="00FC0A60">
      <w:pPr>
        <w:rPr>
          <w:b/>
        </w:rPr>
      </w:pPr>
    </w:p>
    <w:p w14:paraId="0E365058" w14:textId="77777777" w:rsidR="002D58DB" w:rsidRPr="005E25F9" w:rsidRDefault="00832111" w:rsidP="005E25F9">
      <w:pPr>
        <w:pStyle w:val="ListParagraph"/>
        <w:numPr>
          <w:ilvl w:val="0"/>
          <w:numId w:val="2"/>
        </w:numPr>
        <w:rPr>
          <w:b/>
        </w:rPr>
      </w:pPr>
      <w:r w:rsidRPr="005E25F9">
        <w:rPr>
          <w:b/>
        </w:rPr>
        <w:t xml:space="preserve">In line with </w:t>
      </w:r>
      <w:r w:rsidR="005E25F9">
        <w:rPr>
          <w:b/>
        </w:rPr>
        <w:t>A</w:t>
      </w:r>
      <w:r w:rsidRPr="005E25F9">
        <w:rPr>
          <w:b/>
        </w:rPr>
        <w:t>rticle 21</w:t>
      </w:r>
      <w:r w:rsidR="00F63249">
        <w:rPr>
          <w:rStyle w:val="FootnoteReference"/>
          <w:b/>
        </w:rPr>
        <w:footnoteReference w:id="5"/>
      </w:r>
      <w:r w:rsidRPr="005E25F9">
        <w:rPr>
          <w:b/>
        </w:rPr>
        <w:t xml:space="preserve"> of</w:t>
      </w:r>
      <w:r w:rsidR="002D58DB" w:rsidRPr="005E25F9">
        <w:rPr>
          <w:b/>
        </w:rPr>
        <w:t xml:space="preserve"> </w:t>
      </w:r>
      <w:r w:rsidRPr="005E25F9">
        <w:rPr>
          <w:b/>
        </w:rPr>
        <w:t xml:space="preserve">UNCRPD </w:t>
      </w:r>
      <w:r w:rsidR="00F203A9">
        <w:rPr>
          <w:b/>
        </w:rPr>
        <w:t>Government</w:t>
      </w:r>
      <w:r w:rsidRPr="005E25F9">
        <w:rPr>
          <w:b/>
        </w:rPr>
        <w:t xml:space="preserve"> must </w:t>
      </w:r>
      <w:r w:rsidR="00FC0A60" w:rsidRPr="005E25F9">
        <w:rPr>
          <w:b/>
        </w:rPr>
        <w:t xml:space="preserve">take all steps to </w:t>
      </w:r>
      <w:r w:rsidRPr="005E25F9">
        <w:rPr>
          <w:b/>
        </w:rPr>
        <w:t xml:space="preserve">ensure that </w:t>
      </w:r>
      <w:r w:rsidRPr="00A26069">
        <w:rPr>
          <w:b/>
        </w:rPr>
        <w:t>communication</w:t>
      </w:r>
      <w:r w:rsidRPr="005E25F9">
        <w:rPr>
          <w:b/>
        </w:rPr>
        <w:t xml:space="preserve"> around </w:t>
      </w:r>
      <w:r w:rsidR="005E25F9">
        <w:rPr>
          <w:b/>
        </w:rPr>
        <w:t xml:space="preserve">the next phase its response to </w:t>
      </w:r>
      <w:r w:rsidRPr="005E25F9">
        <w:rPr>
          <w:b/>
        </w:rPr>
        <w:t>COVID-19 is accessible to all members of society</w:t>
      </w:r>
      <w:r w:rsidR="005E25F9">
        <w:rPr>
          <w:b/>
        </w:rPr>
        <w:t xml:space="preserve"> building on positive steps to date including the provision of ISL and BSL interpreters at daily briefings</w:t>
      </w:r>
      <w:r w:rsidRPr="005E25F9">
        <w:rPr>
          <w:b/>
        </w:rPr>
        <w:t>.</w:t>
      </w:r>
    </w:p>
    <w:p w14:paraId="54B4F757" w14:textId="77777777" w:rsidR="00832111" w:rsidRDefault="00832111">
      <w:pPr>
        <w:rPr>
          <w:b/>
        </w:rPr>
      </w:pPr>
    </w:p>
    <w:p w14:paraId="3D81A75D" w14:textId="77777777" w:rsidR="00832111" w:rsidRPr="00A26069" w:rsidRDefault="00832111" w:rsidP="005E25F9">
      <w:pPr>
        <w:pStyle w:val="ListParagraph"/>
        <w:numPr>
          <w:ilvl w:val="0"/>
          <w:numId w:val="2"/>
        </w:numPr>
        <w:rPr>
          <w:b/>
        </w:rPr>
      </w:pPr>
      <w:r w:rsidRPr="005E25F9">
        <w:rPr>
          <w:b/>
        </w:rPr>
        <w:t>In line with Articles 19</w:t>
      </w:r>
      <w:r w:rsidR="00F63249">
        <w:rPr>
          <w:rStyle w:val="FootnoteReference"/>
          <w:b/>
        </w:rPr>
        <w:footnoteReference w:id="6"/>
      </w:r>
      <w:r w:rsidRPr="005E25F9">
        <w:rPr>
          <w:b/>
        </w:rPr>
        <w:t xml:space="preserve"> and 28</w:t>
      </w:r>
      <w:r w:rsidR="00F63249">
        <w:rPr>
          <w:rStyle w:val="FootnoteReference"/>
          <w:b/>
        </w:rPr>
        <w:footnoteReference w:id="7"/>
      </w:r>
      <w:r w:rsidR="005E25F9">
        <w:rPr>
          <w:b/>
        </w:rPr>
        <w:t xml:space="preserve"> of UNCRPD</w:t>
      </w:r>
      <w:r w:rsidRPr="005E25F9">
        <w:rPr>
          <w:b/>
        </w:rPr>
        <w:t xml:space="preserve"> </w:t>
      </w:r>
      <w:r w:rsidR="00F203A9">
        <w:rPr>
          <w:b/>
        </w:rPr>
        <w:t>Government</w:t>
      </w:r>
      <w:r w:rsidRPr="005E25F9">
        <w:rPr>
          <w:b/>
        </w:rPr>
        <w:t xml:space="preserve"> must prioritise measures in</w:t>
      </w:r>
      <w:r w:rsidR="005E25F9">
        <w:rPr>
          <w:b/>
        </w:rPr>
        <w:t xml:space="preserve"> the next phase of</w:t>
      </w:r>
      <w:r w:rsidRPr="005E25F9">
        <w:rPr>
          <w:b/>
        </w:rPr>
        <w:t xml:space="preserve"> its response to COVID-19 that support the rights of disabled people </w:t>
      </w:r>
      <w:r w:rsidRPr="00A26069">
        <w:rPr>
          <w:b/>
        </w:rPr>
        <w:t>to live independently in the community and with an adequate standard of living and social protection</w:t>
      </w:r>
      <w:r w:rsidR="00E62F7C">
        <w:rPr>
          <w:b/>
        </w:rPr>
        <w:t>, with a particular focus on those most a</w:t>
      </w:r>
      <w:r w:rsidR="00FA19EF">
        <w:rPr>
          <w:b/>
        </w:rPr>
        <w:t>t</w:t>
      </w:r>
      <w:r w:rsidR="00E62F7C">
        <w:rPr>
          <w:b/>
        </w:rPr>
        <w:t xml:space="preserve"> risk from COVID-19</w:t>
      </w:r>
      <w:r w:rsidRPr="00A26069">
        <w:rPr>
          <w:b/>
        </w:rPr>
        <w:t>.</w:t>
      </w:r>
    </w:p>
    <w:p w14:paraId="31FE5DB3" w14:textId="77777777" w:rsidR="00832111" w:rsidRDefault="00832111">
      <w:pPr>
        <w:rPr>
          <w:b/>
        </w:rPr>
      </w:pPr>
    </w:p>
    <w:p w14:paraId="065D5760" w14:textId="292F104D" w:rsidR="00832111" w:rsidRPr="00A26069" w:rsidRDefault="00832111" w:rsidP="005E25F9">
      <w:pPr>
        <w:pStyle w:val="ListParagraph"/>
        <w:numPr>
          <w:ilvl w:val="0"/>
          <w:numId w:val="2"/>
        </w:numPr>
        <w:rPr>
          <w:b/>
        </w:rPr>
      </w:pPr>
      <w:r w:rsidRPr="005E25F9">
        <w:rPr>
          <w:b/>
        </w:rPr>
        <w:t>In line with Article 9</w:t>
      </w:r>
      <w:r w:rsidR="00F63249">
        <w:rPr>
          <w:rStyle w:val="FootnoteReference"/>
          <w:b/>
        </w:rPr>
        <w:footnoteReference w:id="8"/>
      </w:r>
      <w:r w:rsidRPr="005E25F9">
        <w:rPr>
          <w:b/>
        </w:rPr>
        <w:t xml:space="preserve"> (Accessibility) </w:t>
      </w:r>
      <w:r w:rsidR="00F203A9">
        <w:rPr>
          <w:b/>
        </w:rPr>
        <w:t>Government</w:t>
      </w:r>
      <w:r w:rsidRPr="005E25F9">
        <w:rPr>
          <w:b/>
        </w:rPr>
        <w:t xml:space="preserve"> must take steps</w:t>
      </w:r>
      <w:r w:rsidR="005E25F9" w:rsidRPr="005E25F9">
        <w:rPr>
          <w:b/>
        </w:rPr>
        <w:t xml:space="preserve"> in</w:t>
      </w:r>
      <w:r w:rsidR="005E25F9">
        <w:rPr>
          <w:b/>
        </w:rPr>
        <w:t xml:space="preserve"> the next phase of</w:t>
      </w:r>
      <w:r w:rsidR="005E25F9" w:rsidRPr="005E25F9">
        <w:rPr>
          <w:b/>
        </w:rPr>
        <w:t xml:space="preserve"> its response to COVID-19</w:t>
      </w:r>
      <w:r w:rsidRPr="005E25F9">
        <w:rPr>
          <w:b/>
        </w:rPr>
        <w:t xml:space="preserve"> to ensure </w:t>
      </w:r>
      <w:r w:rsidRPr="00A26069">
        <w:rPr>
          <w:b/>
        </w:rPr>
        <w:t>reasonable adjustments are made to reduce the impact of</w:t>
      </w:r>
      <w:r w:rsidR="00827F47">
        <w:rPr>
          <w:b/>
        </w:rPr>
        <w:t xml:space="preserve"> social /</w:t>
      </w:r>
      <w:r w:rsidRPr="00A26069">
        <w:rPr>
          <w:b/>
        </w:rPr>
        <w:t xml:space="preserve"> </w:t>
      </w:r>
      <w:r w:rsidR="00827F47">
        <w:rPr>
          <w:b/>
        </w:rPr>
        <w:t xml:space="preserve">physical </w:t>
      </w:r>
      <w:r w:rsidRPr="00A26069">
        <w:rPr>
          <w:b/>
        </w:rPr>
        <w:t>distancing measures on the accessibility of the built environment</w:t>
      </w:r>
      <w:r w:rsidR="00E62F7C">
        <w:rPr>
          <w:b/>
        </w:rPr>
        <w:t xml:space="preserve"> (including footways and green spaces)</w:t>
      </w:r>
      <w:r w:rsidRPr="00A26069">
        <w:rPr>
          <w:b/>
        </w:rPr>
        <w:t xml:space="preserve"> and</w:t>
      </w:r>
      <w:r w:rsidR="001E576E">
        <w:rPr>
          <w:b/>
        </w:rPr>
        <w:t xml:space="preserve"> the availability of and </w:t>
      </w:r>
      <w:r w:rsidR="001E576E">
        <w:rPr>
          <w:b/>
        </w:rPr>
        <w:lastRenderedPageBreak/>
        <w:t>access to</w:t>
      </w:r>
      <w:r w:rsidRPr="00A26069">
        <w:rPr>
          <w:b/>
        </w:rPr>
        <w:t xml:space="preserve"> transport services</w:t>
      </w:r>
      <w:r w:rsidR="008D180F">
        <w:rPr>
          <w:b/>
        </w:rPr>
        <w:t xml:space="preserve"> taking into particular account the rurality of Northern Ireland</w:t>
      </w:r>
      <w:r w:rsidRPr="00A26069">
        <w:rPr>
          <w:b/>
        </w:rPr>
        <w:t xml:space="preserve">. </w:t>
      </w:r>
    </w:p>
    <w:p w14:paraId="45EDABF5" w14:textId="77777777" w:rsidR="00832111" w:rsidRDefault="00832111">
      <w:pPr>
        <w:rPr>
          <w:b/>
        </w:rPr>
      </w:pPr>
    </w:p>
    <w:p w14:paraId="49EAA4AE" w14:textId="77777777" w:rsidR="00832111" w:rsidRDefault="00F61017" w:rsidP="00F61017">
      <w:pPr>
        <w:pStyle w:val="ListParagraph"/>
        <w:numPr>
          <w:ilvl w:val="0"/>
          <w:numId w:val="2"/>
        </w:numPr>
        <w:rPr>
          <w:b/>
        </w:rPr>
      </w:pPr>
      <w:r w:rsidRPr="00F61017">
        <w:rPr>
          <w:b/>
        </w:rPr>
        <w:t>Underpinning</w:t>
      </w:r>
      <w:r w:rsidR="005E25F9" w:rsidRPr="00F61017">
        <w:rPr>
          <w:b/>
        </w:rPr>
        <w:t xml:space="preserve"> its entire approach</w:t>
      </w:r>
      <w:r>
        <w:rPr>
          <w:b/>
        </w:rPr>
        <w:t>,</w:t>
      </w:r>
      <w:r w:rsidR="005E25F9" w:rsidRPr="00F61017">
        <w:rPr>
          <w:b/>
        </w:rPr>
        <w:t xml:space="preserve"> and i</w:t>
      </w:r>
      <w:r w:rsidR="00832111" w:rsidRPr="00F61017">
        <w:rPr>
          <w:b/>
        </w:rPr>
        <w:t>n line with Article 4</w:t>
      </w:r>
      <w:r w:rsidR="00F63249">
        <w:rPr>
          <w:rStyle w:val="FootnoteReference"/>
          <w:b/>
        </w:rPr>
        <w:footnoteReference w:id="9"/>
      </w:r>
      <w:r w:rsidR="00832111" w:rsidRPr="00F61017">
        <w:rPr>
          <w:b/>
        </w:rPr>
        <w:t xml:space="preserve"> of UNCRPD (General Obligations)</w:t>
      </w:r>
      <w:r>
        <w:rPr>
          <w:b/>
        </w:rPr>
        <w:t>,</w:t>
      </w:r>
      <w:r w:rsidR="00832111" w:rsidRPr="00F61017">
        <w:rPr>
          <w:b/>
        </w:rPr>
        <w:t xml:space="preserve"> it is </w:t>
      </w:r>
      <w:r w:rsidR="00FC0A60" w:rsidRPr="00F61017">
        <w:rPr>
          <w:b/>
        </w:rPr>
        <w:t xml:space="preserve">essential </w:t>
      </w:r>
      <w:r w:rsidR="00F203A9">
        <w:rPr>
          <w:b/>
        </w:rPr>
        <w:t>Government</w:t>
      </w:r>
      <w:r w:rsidR="00832111" w:rsidRPr="00F61017">
        <w:rPr>
          <w:b/>
        </w:rPr>
        <w:t xml:space="preserve"> establish</w:t>
      </w:r>
      <w:r w:rsidR="00E62F7C">
        <w:rPr>
          <w:b/>
        </w:rPr>
        <w:t>e</w:t>
      </w:r>
      <w:r w:rsidR="003A1D4E">
        <w:rPr>
          <w:b/>
        </w:rPr>
        <w:t>s</w:t>
      </w:r>
      <w:r w:rsidR="00FC0A60" w:rsidRPr="00F61017">
        <w:rPr>
          <w:b/>
        </w:rPr>
        <w:t>, without delay,</w:t>
      </w:r>
      <w:r w:rsidR="00832111" w:rsidRPr="00F61017">
        <w:rPr>
          <w:b/>
        </w:rPr>
        <w:t xml:space="preserve"> </w:t>
      </w:r>
      <w:r w:rsidR="00832111" w:rsidRPr="00A26069">
        <w:rPr>
          <w:b/>
        </w:rPr>
        <w:t>a mechanism to consult</w:t>
      </w:r>
      <w:r w:rsidRPr="00A26069">
        <w:rPr>
          <w:b/>
        </w:rPr>
        <w:t xml:space="preserve"> with</w:t>
      </w:r>
      <w:r w:rsidR="00832111" w:rsidRPr="00A26069">
        <w:rPr>
          <w:b/>
        </w:rPr>
        <w:t xml:space="preserve"> and actively engage wit</w:t>
      </w:r>
      <w:r w:rsidR="00832111" w:rsidRPr="00F61017">
        <w:rPr>
          <w:b/>
        </w:rPr>
        <w:t xml:space="preserve">h disabled people (including disabled children) </w:t>
      </w:r>
      <w:r w:rsidR="003A1D4E">
        <w:rPr>
          <w:b/>
        </w:rPr>
        <w:t xml:space="preserve">in planning and delivering </w:t>
      </w:r>
      <w:r>
        <w:rPr>
          <w:b/>
        </w:rPr>
        <w:t>the next phase of</w:t>
      </w:r>
      <w:r w:rsidRPr="005E25F9">
        <w:rPr>
          <w:b/>
        </w:rPr>
        <w:t xml:space="preserve"> its response to COVID-19</w:t>
      </w:r>
      <w:r>
        <w:rPr>
          <w:b/>
        </w:rPr>
        <w:t>.</w:t>
      </w:r>
    </w:p>
    <w:p w14:paraId="49BC7669" w14:textId="77777777" w:rsidR="00FA19EF" w:rsidRDefault="00FA19EF" w:rsidP="00E62F7C">
      <w:pPr>
        <w:rPr>
          <w:b/>
        </w:rPr>
      </w:pPr>
    </w:p>
    <w:p w14:paraId="5E1773C2" w14:textId="77777777" w:rsidR="00FA19EF" w:rsidRDefault="00FA19EF" w:rsidP="00E62F7C">
      <w:pPr>
        <w:rPr>
          <w:b/>
        </w:rPr>
      </w:pPr>
    </w:p>
    <w:p w14:paraId="44C0BC9B" w14:textId="77777777" w:rsidR="005474EE" w:rsidRPr="00F203A9" w:rsidRDefault="005474EE" w:rsidP="00E62F7C">
      <w:pPr>
        <w:rPr>
          <w:b/>
        </w:rPr>
      </w:pPr>
      <w:r w:rsidRPr="00F203A9">
        <w:rPr>
          <w:b/>
        </w:rPr>
        <w:t>Our role</w:t>
      </w:r>
    </w:p>
    <w:p w14:paraId="31106C10" w14:textId="77777777" w:rsidR="00A26069" w:rsidRDefault="00A26069" w:rsidP="00E62F7C"/>
    <w:p w14:paraId="5E0E6EEA" w14:textId="77777777" w:rsidR="005474EE" w:rsidRPr="005474EE" w:rsidRDefault="00E62F7C" w:rsidP="00E62F7C">
      <w:r>
        <w:t>During this initial phase of the COVID-19 crisis Imtac has support</w:t>
      </w:r>
      <w:r w:rsidR="00636B25">
        <w:t>ed</w:t>
      </w:r>
      <w:r>
        <w:t xml:space="preserve"> the efforts </w:t>
      </w:r>
      <w:r w:rsidR="00295818">
        <w:t xml:space="preserve">of Government in Northern Ireland, using our links with disabled people, older people and linked organisations to keep people informed of the available support. </w:t>
      </w:r>
      <w:r w:rsidR="000E7EDD">
        <w:t>As we move to the next stage it is vital that Government develop</w:t>
      </w:r>
      <w:r w:rsidR="006D329A">
        <w:t>s</w:t>
      </w:r>
      <w:r w:rsidR="000E7EDD">
        <w:t xml:space="preserve"> an inclusive response, recognising the importance</w:t>
      </w:r>
      <w:r w:rsidR="00FA19EF">
        <w:t xml:space="preserve"> and value</w:t>
      </w:r>
      <w:r w:rsidR="000E7EDD">
        <w:t xml:space="preserve"> of</w:t>
      </w:r>
      <w:r w:rsidR="00FA19EF">
        <w:t xml:space="preserve"> direct</w:t>
      </w:r>
      <w:r w:rsidR="000E7EDD">
        <w:t xml:space="preserve"> engagement with disabled people, older people and carers to ensure that no one in our society feels left behind. </w:t>
      </w:r>
      <w:proofErr w:type="spellStart"/>
      <w:r w:rsidR="00636B25">
        <w:t>Imtac</w:t>
      </w:r>
      <w:proofErr w:type="spellEnd"/>
      <w:r w:rsidR="00295818">
        <w:t xml:space="preserve"> </w:t>
      </w:r>
      <w:r w:rsidR="006D329A">
        <w:t xml:space="preserve">has </w:t>
      </w:r>
      <w:r w:rsidR="00295818">
        <w:t>already started to work with colleagues in the Department for Infrastructure to advise and support planning for the next phase of the response and we would welcome the opportunity to assist in the planning and delivery of a wider</w:t>
      </w:r>
      <w:r w:rsidR="000E7EDD">
        <w:t>, inclusive Government response.</w:t>
      </w:r>
    </w:p>
    <w:sectPr w:rsidR="005474EE" w:rsidRPr="005474EE" w:rsidSect="002D72DF">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0641" w14:textId="77777777" w:rsidR="007D39AC" w:rsidRDefault="007D39AC" w:rsidP="00F61017">
      <w:r>
        <w:separator/>
      </w:r>
    </w:p>
  </w:endnote>
  <w:endnote w:type="continuationSeparator" w:id="0">
    <w:p w14:paraId="0F597E4B" w14:textId="77777777" w:rsidR="007D39AC" w:rsidRDefault="007D39AC" w:rsidP="00F6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Tahoma Bold"/>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963888"/>
      <w:docPartObj>
        <w:docPartGallery w:val="Page Numbers (Bottom of Page)"/>
        <w:docPartUnique/>
      </w:docPartObj>
    </w:sdtPr>
    <w:sdtEndPr>
      <w:rPr>
        <w:noProof/>
      </w:rPr>
    </w:sdtEndPr>
    <w:sdtContent>
      <w:p w14:paraId="22A1FEEC" w14:textId="77777777" w:rsidR="007D39AC" w:rsidRDefault="007D39AC">
        <w:pPr>
          <w:pStyle w:val="Footer"/>
          <w:jc w:val="center"/>
        </w:pPr>
        <w:r>
          <w:fldChar w:fldCharType="begin"/>
        </w:r>
        <w:r>
          <w:instrText xml:space="preserve"> PAGE   \* MERGEFORMAT </w:instrText>
        </w:r>
        <w:r>
          <w:fldChar w:fldCharType="separate"/>
        </w:r>
        <w:r w:rsidR="006E0A14">
          <w:rPr>
            <w:noProof/>
          </w:rPr>
          <w:t>1</w:t>
        </w:r>
        <w:r>
          <w:rPr>
            <w:noProof/>
          </w:rPr>
          <w:fldChar w:fldCharType="end"/>
        </w:r>
      </w:p>
    </w:sdtContent>
  </w:sdt>
  <w:p w14:paraId="3BBD72C9" w14:textId="77777777" w:rsidR="007D39AC" w:rsidRDefault="007D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DB65" w14:textId="77777777" w:rsidR="007D39AC" w:rsidRDefault="007D39AC" w:rsidP="00F61017">
      <w:r>
        <w:separator/>
      </w:r>
    </w:p>
  </w:footnote>
  <w:footnote w:type="continuationSeparator" w:id="0">
    <w:p w14:paraId="722CA483" w14:textId="77777777" w:rsidR="007D39AC" w:rsidRDefault="007D39AC" w:rsidP="00F61017">
      <w:r>
        <w:continuationSeparator/>
      </w:r>
    </w:p>
  </w:footnote>
  <w:footnote w:id="1">
    <w:p w14:paraId="14376A5A" w14:textId="77777777" w:rsidR="007D39AC" w:rsidRDefault="007D39AC" w:rsidP="00A26069">
      <w:pPr>
        <w:pStyle w:val="FootnoteText"/>
      </w:pPr>
      <w:r>
        <w:rPr>
          <w:rStyle w:val="FootnoteReference"/>
        </w:rPr>
        <w:footnoteRef/>
      </w:r>
      <w:r>
        <w:t xml:space="preserve"> </w:t>
      </w:r>
      <w:hyperlink r:id="rId1" w:history="1">
        <w:r>
          <w:rPr>
            <w:rStyle w:val="Hyperlink"/>
          </w:rPr>
          <w:t>https://www.un.org/development/desa/disabilities/convention-on-the-rights-of-persons-with-disabilities/convention-on-the-rights-of-persons-with-disabilities-2.html</w:t>
        </w:r>
      </w:hyperlink>
    </w:p>
  </w:footnote>
  <w:footnote w:id="2">
    <w:p w14:paraId="2CF7B372" w14:textId="77777777" w:rsidR="007D39AC" w:rsidRPr="00F203A9" w:rsidRDefault="007D39AC">
      <w:pPr>
        <w:pStyle w:val="FootnoteText"/>
        <w:rPr>
          <w:lang w:val="en-US"/>
        </w:rPr>
      </w:pPr>
      <w:r>
        <w:rPr>
          <w:rStyle w:val="FootnoteReference"/>
        </w:rPr>
        <w:footnoteRef/>
      </w:r>
      <w:r>
        <w:t xml:space="preserve"> </w:t>
      </w:r>
      <w:hyperlink r:id="rId2" w:history="1">
        <w:r w:rsidRPr="00571623">
          <w:rPr>
            <w:rStyle w:val="Hyperlink"/>
          </w:rPr>
          <w:t>https://www.disabilityaction.org/news/minister-swann-endorsement-key-principles</w:t>
        </w:r>
      </w:hyperlink>
      <w:r>
        <w:t xml:space="preserve"> </w:t>
      </w:r>
    </w:p>
  </w:footnote>
  <w:footnote w:id="3">
    <w:p w14:paraId="35ABF175" w14:textId="77777777" w:rsidR="007D39AC" w:rsidRDefault="007D39AC">
      <w:pPr>
        <w:pStyle w:val="FootnoteText"/>
      </w:pPr>
      <w:r>
        <w:rPr>
          <w:rStyle w:val="FootnoteReference"/>
        </w:rPr>
        <w:footnoteRef/>
      </w:r>
      <w:r>
        <w:t xml:space="preserve"> </w:t>
      </w:r>
      <w:hyperlink r:id="rId3" w:history="1">
        <w:r>
          <w:rPr>
            <w:rStyle w:val="Hyperlink"/>
          </w:rPr>
          <w:t>https://www.un.org/development/desa/disabilities/convention-on-the-rights-of-persons-with-disabilities/article-10-right-to-life.html</w:t>
        </w:r>
      </w:hyperlink>
    </w:p>
  </w:footnote>
  <w:footnote w:id="4">
    <w:p w14:paraId="205AF590" w14:textId="77777777" w:rsidR="007D39AC" w:rsidRDefault="007D39AC">
      <w:pPr>
        <w:pStyle w:val="FootnoteText"/>
      </w:pPr>
      <w:r>
        <w:rPr>
          <w:rStyle w:val="FootnoteReference"/>
        </w:rPr>
        <w:footnoteRef/>
      </w:r>
      <w:r>
        <w:t xml:space="preserve"> </w:t>
      </w:r>
      <w:hyperlink r:id="rId4" w:history="1">
        <w:r>
          <w:rPr>
            <w:rStyle w:val="Hyperlink"/>
          </w:rPr>
          <w:t>https://www.un.org/development/desa/disabilities/convention-on-the-rights-of-persons-with-disabilities/article-25-health.html</w:t>
        </w:r>
      </w:hyperlink>
    </w:p>
  </w:footnote>
  <w:footnote w:id="5">
    <w:p w14:paraId="5C8B69E8" w14:textId="77777777" w:rsidR="007D39AC" w:rsidRDefault="007D39AC">
      <w:pPr>
        <w:pStyle w:val="FootnoteText"/>
      </w:pPr>
      <w:r>
        <w:rPr>
          <w:rStyle w:val="FootnoteReference"/>
        </w:rPr>
        <w:footnoteRef/>
      </w:r>
      <w:r>
        <w:t xml:space="preserve"> </w:t>
      </w:r>
      <w:hyperlink r:id="rId5" w:history="1">
        <w:r>
          <w:rPr>
            <w:rStyle w:val="Hyperlink"/>
          </w:rPr>
          <w:t>https://www.un.org/development/desa/disabilities/convention-on-the-rights-of-persons-with-disabilities/article-21-freedom-of-expression-and-opinion-and-access-to-information.html</w:t>
        </w:r>
      </w:hyperlink>
    </w:p>
  </w:footnote>
  <w:footnote w:id="6">
    <w:p w14:paraId="6B6AC5E4" w14:textId="77777777" w:rsidR="007D39AC" w:rsidRDefault="007D39AC">
      <w:pPr>
        <w:pStyle w:val="FootnoteText"/>
      </w:pPr>
      <w:r>
        <w:rPr>
          <w:rStyle w:val="FootnoteReference"/>
        </w:rPr>
        <w:footnoteRef/>
      </w:r>
      <w:r>
        <w:t xml:space="preserve"> </w:t>
      </w:r>
      <w:hyperlink r:id="rId6" w:history="1">
        <w:r>
          <w:rPr>
            <w:rStyle w:val="Hyperlink"/>
          </w:rPr>
          <w:t>https://www.un.org/development/desa/disabilities/convention-on-the-rights-of-persons-with-disabilities/article-19-living-independently-and-being-included-in-the-community.html</w:t>
        </w:r>
      </w:hyperlink>
    </w:p>
  </w:footnote>
  <w:footnote w:id="7">
    <w:p w14:paraId="7A36A925" w14:textId="77777777" w:rsidR="007D39AC" w:rsidRDefault="007D39AC">
      <w:pPr>
        <w:pStyle w:val="FootnoteText"/>
      </w:pPr>
      <w:r>
        <w:rPr>
          <w:rStyle w:val="FootnoteReference"/>
        </w:rPr>
        <w:footnoteRef/>
      </w:r>
      <w:r>
        <w:t xml:space="preserve"> </w:t>
      </w:r>
      <w:hyperlink r:id="rId7" w:history="1">
        <w:r>
          <w:rPr>
            <w:rStyle w:val="Hyperlink"/>
          </w:rPr>
          <w:t>https://www.un.org/development/desa/disabilities/convention-on-the-rights-of-persons-with-disabilities/article-28-adequate-standard-of-living-and-social-protection.html</w:t>
        </w:r>
      </w:hyperlink>
    </w:p>
  </w:footnote>
  <w:footnote w:id="8">
    <w:p w14:paraId="1E03F13F" w14:textId="77777777" w:rsidR="007D39AC" w:rsidRDefault="007D39AC">
      <w:pPr>
        <w:pStyle w:val="FootnoteText"/>
      </w:pPr>
      <w:r>
        <w:rPr>
          <w:rStyle w:val="FootnoteReference"/>
        </w:rPr>
        <w:footnoteRef/>
      </w:r>
      <w:r>
        <w:t xml:space="preserve"> </w:t>
      </w:r>
      <w:hyperlink r:id="rId8" w:history="1">
        <w:r>
          <w:rPr>
            <w:rStyle w:val="Hyperlink"/>
          </w:rPr>
          <w:t>https://www.un.org/development/desa/disabilities/convention-on-the-rights-of-persons-with-disabilities/article-9-accessibility.html</w:t>
        </w:r>
      </w:hyperlink>
    </w:p>
  </w:footnote>
  <w:footnote w:id="9">
    <w:p w14:paraId="184ABAA8" w14:textId="77777777" w:rsidR="007D39AC" w:rsidRDefault="007D39AC">
      <w:pPr>
        <w:pStyle w:val="FootnoteText"/>
      </w:pPr>
      <w:r>
        <w:rPr>
          <w:rStyle w:val="FootnoteReference"/>
        </w:rPr>
        <w:footnoteRef/>
      </w:r>
      <w:r>
        <w:t xml:space="preserve"> </w:t>
      </w:r>
      <w:hyperlink r:id="rId9" w:history="1">
        <w:r>
          <w:rPr>
            <w:rStyle w:val="Hyperlink"/>
          </w:rPr>
          <w:t>https://www.un.org/development/desa/disabilities/convention-on-the-rights-of-persons-with-disabilities/article-4-general-obligations.html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B2317"/>
    <w:multiLevelType w:val="hybridMultilevel"/>
    <w:tmpl w:val="AA86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5091F"/>
    <w:multiLevelType w:val="hybridMultilevel"/>
    <w:tmpl w:val="45E4A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0"/>
    <w:rsid w:val="00015C0C"/>
    <w:rsid w:val="00051543"/>
    <w:rsid w:val="00075E87"/>
    <w:rsid w:val="00090A7A"/>
    <w:rsid w:val="000E7EDD"/>
    <w:rsid w:val="0019771B"/>
    <w:rsid w:val="001E576E"/>
    <w:rsid w:val="002140C1"/>
    <w:rsid w:val="00295818"/>
    <w:rsid w:val="002D58DB"/>
    <w:rsid w:val="002D72DF"/>
    <w:rsid w:val="00365274"/>
    <w:rsid w:val="003A1D4E"/>
    <w:rsid w:val="003A7F6F"/>
    <w:rsid w:val="003B654F"/>
    <w:rsid w:val="003F5276"/>
    <w:rsid w:val="004A4CCB"/>
    <w:rsid w:val="00500F53"/>
    <w:rsid w:val="00520E4A"/>
    <w:rsid w:val="00521482"/>
    <w:rsid w:val="005474EE"/>
    <w:rsid w:val="005E25F9"/>
    <w:rsid w:val="00636B25"/>
    <w:rsid w:val="00637818"/>
    <w:rsid w:val="006D329A"/>
    <w:rsid w:val="006E0A14"/>
    <w:rsid w:val="006F6927"/>
    <w:rsid w:val="0070286D"/>
    <w:rsid w:val="00712837"/>
    <w:rsid w:val="007A38F2"/>
    <w:rsid w:val="007D39AC"/>
    <w:rsid w:val="00827F47"/>
    <w:rsid w:val="00832111"/>
    <w:rsid w:val="008559B0"/>
    <w:rsid w:val="008D180F"/>
    <w:rsid w:val="009A11E0"/>
    <w:rsid w:val="009C3261"/>
    <w:rsid w:val="00A01F45"/>
    <w:rsid w:val="00A06AF3"/>
    <w:rsid w:val="00A26069"/>
    <w:rsid w:val="00A66CA6"/>
    <w:rsid w:val="00AF4537"/>
    <w:rsid w:val="00D258BC"/>
    <w:rsid w:val="00D85863"/>
    <w:rsid w:val="00E17BB3"/>
    <w:rsid w:val="00E26CBF"/>
    <w:rsid w:val="00E61673"/>
    <w:rsid w:val="00E62F7C"/>
    <w:rsid w:val="00F203A9"/>
    <w:rsid w:val="00F61017"/>
    <w:rsid w:val="00F63249"/>
    <w:rsid w:val="00F66A61"/>
    <w:rsid w:val="00FA19EF"/>
    <w:rsid w:val="00FC0A60"/>
    <w:rsid w:val="00FC28D2"/>
    <w:rsid w:val="00FC51C7"/>
    <w:rsid w:val="00FF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D1338F"/>
  <w15:docId w15:val="{8DB07603-D585-410D-AD10-345FDA9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BF"/>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B0"/>
    <w:pPr>
      <w:ind w:left="720"/>
      <w:contextualSpacing/>
    </w:pPr>
  </w:style>
  <w:style w:type="character" w:styleId="CommentReference">
    <w:name w:val="annotation reference"/>
    <w:basedOn w:val="DefaultParagraphFont"/>
    <w:uiPriority w:val="99"/>
    <w:semiHidden/>
    <w:unhideWhenUsed/>
    <w:rsid w:val="005E25F9"/>
    <w:rPr>
      <w:sz w:val="16"/>
      <w:szCs w:val="16"/>
    </w:rPr>
  </w:style>
  <w:style w:type="paragraph" w:styleId="CommentText">
    <w:name w:val="annotation text"/>
    <w:basedOn w:val="Normal"/>
    <w:link w:val="CommentTextChar"/>
    <w:uiPriority w:val="99"/>
    <w:semiHidden/>
    <w:unhideWhenUsed/>
    <w:rsid w:val="005E25F9"/>
    <w:rPr>
      <w:sz w:val="20"/>
      <w:szCs w:val="20"/>
    </w:rPr>
  </w:style>
  <w:style w:type="character" w:customStyle="1" w:styleId="CommentTextChar">
    <w:name w:val="Comment Text Char"/>
    <w:basedOn w:val="DefaultParagraphFont"/>
    <w:link w:val="CommentText"/>
    <w:uiPriority w:val="99"/>
    <w:semiHidden/>
    <w:rsid w:val="005E25F9"/>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E25F9"/>
    <w:rPr>
      <w:b/>
      <w:bCs/>
    </w:rPr>
  </w:style>
  <w:style w:type="character" w:customStyle="1" w:styleId="CommentSubjectChar">
    <w:name w:val="Comment Subject Char"/>
    <w:basedOn w:val="CommentTextChar"/>
    <w:link w:val="CommentSubject"/>
    <w:uiPriority w:val="99"/>
    <w:semiHidden/>
    <w:rsid w:val="005E25F9"/>
    <w:rPr>
      <w:rFonts w:ascii="Arial" w:hAnsi="Arial"/>
      <w:b/>
      <w:bCs/>
      <w:lang w:val="en-GB" w:eastAsia="en-US"/>
    </w:rPr>
  </w:style>
  <w:style w:type="paragraph" w:styleId="BalloonText">
    <w:name w:val="Balloon Text"/>
    <w:basedOn w:val="Normal"/>
    <w:link w:val="BalloonTextChar"/>
    <w:uiPriority w:val="99"/>
    <w:semiHidden/>
    <w:unhideWhenUsed/>
    <w:rsid w:val="005E2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5F9"/>
    <w:rPr>
      <w:rFonts w:ascii="Segoe UI" w:hAnsi="Segoe UI" w:cs="Segoe UI"/>
      <w:sz w:val="18"/>
      <w:szCs w:val="18"/>
      <w:lang w:val="en-GB" w:eastAsia="en-US"/>
    </w:rPr>
  </w:style>
  <w:style w:type="paragraph" w:styleId="Header">
    <w:name w:val="header"/>
    <w:basedOn w:val="Normal"/>
    <w:link w:val="HeaderChar"/>
    <w:uiPriority w:val="99"/>
    <w:unhideWhenUsed/>
    <w:rsid w:val="00F61017"/>
    <w:pPr>
      <w:tabs>
        <w:tab w:val="center" w:pos="4513"/>
        <w:tab w:val="right" w:pos="9026"/>
      </w:tabs>
    </w:pPr>
  </w:style>
  <w:style w:type="character" w:customStyle="1" w:styleId="HeaderChar">
    <w:name w:val="Header Char"/>
    <w:basedOn w:val="DefaultParagraphFont"/>
    <w:link w:val="Header"/>
    <w:uiPriority w:val="99"/>
    <w:rsid w:val="00F61017"/>
    <w:rPr>
      <w:rFonts w:ascii="Arial" w:hAnsi="Arial"/>
      <w:sz w:val="28"/>
      <w:szCs w:val="24"/>
      <w:lang w:val="en-GB" w:eastAsia="en-US"/>
    </w:rPr>
  </w:style>
  <w:style w:type="paragraph" w:styleId="Footer">
    <w:name w:val="footer"/>
    <w:basedOn w:val="Normal"/>
    <w:link w:val="FooterChar"/>
    <w:uiPriority w:val="99"/>
    <w:unhideWhenUsed/>
    <w:rsid w:val="00F61017"/>
    <w:pPr>
      <w:tabs>
        <w:tab w:val="center" w:pos="4513"/>
        <w:tab w:val="right" w:pos="9026"/>
      </w:tabs>
    </w:pPr>
  </w:style>
  <w:style w:type="character" w:customStyle="1" w:styleId="FooterChar">
    <w:name w:val="Footer Char"/>
    <w:basedOn w:val="DefaultParagraphFont"/>
    <w:link w:val="Footer"/>
    <w:uiPriority w:val="99"/>
    <w:rsid w:val="00F61017"/>
    <w:rPr>
      <w:rFonts w:ascii="Arial" w:hAnsi="Arial"/>
      <w:sz w:val="28"/>
      <w:szCs w:val="24"/>
      <w:lang w:val="en-GB" w:eastAsia="en-US"/>
    </w:rPr>
  </w:style>
  <w:style w:type="paragraph" w:styleId="FootnoteText">
    <w:name w:val="footnote text"/>
    <w:basedOn w:val="Normal"/>
    <w:link w:val="FootnoteTextChar"/>
    <w:uiPriority w:val="99"/>
    <w:unhideWhenUsed/>
    <w:rsid w:val="00F61017"/>
    <w:rPr>
      <w:sz w:val="20"/>
      <w:szCs w:val="20"/>
    </w:rPr>
  </w:style>
  <w:style w:type="character" w:customStyle="1" w:styleId="FootnoteTextChar">
    <w:name w:val="Footnote Text Char"/>
    <w:basedOn w:val="DefaultParagraphFont"/>
    <w:link w:val="FootnoteText"/>
    <w:uiPriority w:val="99"/>
    <w:rsid w:val="00F61017"/>
    <w:rPr>
      <w:rFonts w:ascii="Arial" w:hAnsi="Arial"/>
      <w:lang w:val="en-GB" w:eastAsia="en-US"/>
    </w:rPr>
  </w:style>
  <w:style w:type="character" w:styleId="FootnoteReference">
    <w:name w:val="footnote reference"/>
    <w:basedOn w:val="DefaultParagraphFont"/>
    <w:uiPriority w:val="99"/>
    <w:unhideWhenUsed/>
    <w:rsid w:val="00F61017"/>
    <w:rPr>
      <w:vertAlign w:val="superscript"/>
    </w:rPr>
  </w:style>
  <w:style w:type="character" w:styleId="Hyperlink">
    <w:name w:val="Hyperlink"/>
    <w:basedOn w:val="DefaultParagraphFont"/>
    <w:unhideWhenUsed/>
    <w:rsid w:val="00F61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article-9-accessibility.html" TargetMode="External"/><Relationship Id="rId3" Type="http://schemas.openxmlformats.org/officeDocument/2006/relationships/hyperlink" Target="https://www.un.org/development/desa/disabilities/convention-on-the-rights-of-persons-with-disabilities/article-10-right-to-life.html" TargetMode="External"/><Relationship Id="rId7" Type="http://schemas.openxmlformats.org/officeDocument/2006/relationships/hyperlink" Target="https://www.un.org/development/desa/disabilities/convention-on-the-rights-of-persons-with-disabilities/article-28-adequate-standard-of-living-and-social-protection.html" TargetMode="External"/><Relationship Id="rId2" Type="http://schemas.openxmlformats.org/officeDocument/2006/relationships/hyperlink" Target="https://www.disabilityaction.org/news/minister-swann-endorsement-key-principles" TargetMode="External"/><Relationship Id="rId1" Type="http://schemas.openxmlformats.org/officeDocument/2006/relationships/hyperlink" Target="https://www.un.org/development/desa/disabilities/convention-on-the-rights-of-persons-with-disabilities/convention-on-the-rights-of-persons-with-disabilities-2.html" TargetMode="External"/><Relationship Id="rId6" Type="http://schemas.openxmlformats.org/officeDocument/2006/relationships/hyperlink" Target="https://www.un.org/development/desa/disabilities/convention-on-the-rights-of-persons-with-disabilities/article-19-living-independently-and-being-included-in-the-community.html" TargetMode="External"/><Relationship Id="rId5" Type="http://schemas.openxmlformats.org/officeDocument/2006/relationships/hyperlink" Target="https://www.un.org/development/desa/disabilities/convention-on-the-rights-of-persons-with-disabilities/article-21-freedom-of-expression-and-opinion-and-access-to-information.html" TargetMode="External"/><Relationship Id="rId4" Type="http://schemas.openxmlformats.org/officeDocument/2006/relationships/hyperlink" Target="https://www.un.org/development/desa/disabilities/convention-on-the-rights-of-persons-with-disabilities/article-25-health.html" TargetMode="External"/><Relationship Id="rId9" Type="http://schemas.openxmlformats.org/officeDocument/2006/relationships/hyperlink" Target="https://www.un.org/development/desa/disabilities/convention-on-the-rights-of-persons-with-disabilities/article-4-general-oblig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85D5-8898-4B98-BF0B-D904C96B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Molly Lorimer</cp:lastModifiedBy>
  <cp:revision>2</cp:revision>
  <dcterms:created xsi:type="dcterms:W3CDTF">2020-05-18T18:59:00Z</dcterms:created>
  <dcterms:modified xsi:type="dcterms:W3CDTF">2020-05-18T18:59:00Z</dcterms:modified>
</cp:coreProperties>
</file>