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4669C" w14:textId="77777777" w:rsidR="008C50F5" w:rsidRDefault="008C50F5" w:rsidP="008C50F5">
      <w:pPr>
        <w:ind w:firstLine="720"/>
        <w:rPr>
          <w:rFonts w:cs="Arial"/>
          <w:b/>
          <w:szCs w:val="28"/>
        </w:rPr>
      </w:pPr>
      <w:r w:rsidRPr="00E635A0">
        <w:rPr>
          <w:rFonts w:cs="Arial"/>
          <w:b/>
          <w:noProof/>
          <w:szCs w:val="28"/>
          <w:lang w:val="en-US"/>
        </w:rPr>
        <w:drawing>
          <wp:inline distT="0" distB="0" distL="0" distR="0" wp14:anchorId="1541CB4C" wp14:editId="1820D4E4">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14:paraId="15D135A2" w14:textId="77777777" w:rsidR="008C50F5" w:rsidRDefault="008C50F5" w:rsidP="008C50F5">
      <w:pPr>
        <w:rPr>
          <w:b/>
          <w:sz w:val="36"/>
          <w:szCs w:val="36"/>
        </w:rPr>
      </w:pPr>
    </w:p>
    <w:p w14:paraId="16033BDB" w14:textId="77777777" w:rsidR="008C50F5" w:rsidRDefault="008C50F5" w:rsidP="008C50F5">
      <w:pPr>
        <w:rPr>
          <w:rFonts w:cs="Arial"/>
          <w:b/>
          <w:sz w:val="36"/>
          <w:szCs w:val="36"/>
        </w:rPr>
      </w:pPr>
    </w:p>
    <w:p w14:paraId="151BF649" w14:textId="77777777" w:rsidR="008C50F5" w:rsidRDefault="008C50F5" w:rsidP="008C50F5">
      <w:pPr>
        <w:rPr>
          <w:rFonts w:cs="Arial"/>
          <w:b/>
          <w:sz w:val="36"/>
          <w:szCs w:val="36"/>
        </w:rPr>
      </w:pPr>
    </w:p>
    <w:p w14:paraId="7CF87AC0" w14:textId="77777777" w:rsidR="008C50F5" w:rsidRPr="008C50F5" w:rsidRDefault="008C50F5" w:rsidP="008C50F5">
      <w:pPr>
        <w:rPr>
          <w:b/>
          <w:bCs/>
          <w:sz w:val="36"/>
          <w:szCs w:val="36"/>
        </w:rPr>
      </w:pPr>
      <w:r w:rsidRPr="008C50F5">
        <w:rPr>
          <w:b/>
          <w:bCs/>
          <w:sz w:val="36"/>
          <w:szCs w:val="36"/>
        </w:rPr>
        <w:t xml:space="preserve">Comments from </w:t>
      </w:r>
      <w:proofErr w:type="spellStart"/>
      <w:r w:rsidRPr="008C50F5">
        <w:rPr>
          <w:b/>
          <w:bCs/>
          <w:sz w:val="36"/>
          <w:szCs w:val="36"/>
        </w:rPr>
        <w:t>Imtac</w:t>
      </w:r>
      <w:proofErr w:type="spellEnd"/>
      <w:r w:rsidRPr="008C50F5">
        <w:rPr>
          <w:b/>
          <w:bCs/>
          <w:sz w:val="36"/>
          <w:szCs w:val="36"/>
        </w:rPr>
        <w:t xml:space="preserve"> about the proposed design of zero emission buses </w:t>
      </w:r>
    </w:p>
    <w:p w14:paraId="37E935A9" w14:textId="77777777" w:rsidR="008C50F5" w:rsidRDefault="008C50F5" w:rsidP="008C50F5">
      <w:pP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p>
    <w:p w14:paraId="08BC6DF0" w14:textId="6A79B298" w:rsidR="008C50F5" w:rsidRPr="00F5216A" w:rsidRDefault="008C50F5" w:rsidP="008C50F5">
      <w:pPr>
        <w:ind w:left="5760"/>
        <w:rPr>
          <w:b/>
          <w:sz w:val="36"/>
          <w:szCs w:val="36"/>
        </w:rPr>
      </w:pPr>
      <w:r>
        <w:rPr>
          <w:b/>
          <w:sz w:val="36"/>
          <w:szCs w:val="36"/>
        </w:rPr>
        <w:t>(December 2020)</w:t>
      </w:r>
    </w:p>
    <w:p w14:paraId="3FD245FD" w14:textId="77777777" w:rsidR="008C50F5" w:rsidRPr="00F5216A" w:rsidRDefault="008C50F5" w:rsidP="008C50F5">
      <w:pPr>
        <w:rPr>
          <w:rFonts w:cs="Arial"/>
          <w:b/>
          <w:sz w:val="36"/>
          <w:szCs w:val="36"/>
        </w:rPr>
      </w:pPr>
    </w:p>
    <w:p w14:paraId="00D3BE6D" w14:textId="77777777" w:rsidR="008C50F5" w:rsidRDefault="008C50F5" w:rsidP="008C50F5">
      <w:pPr>
        <w:rPr>
          <w:rFonts w:cs="Arial"/>
          <w:bCs/>
          <w:szCs w:val="28"/>
        </w:rPr>
      </w:pPr>
    </w:p>
    <w:p w14:paraId="563D01F6" w14:textId="77777777" w:rsidR="008C50F5" w:rsidRDefault="008C50F5" w:rsidP="008C50F5">
      <w:pPr>
        <w:rPr>
          <w:rFonts w:cs="Arial"/>
          <w:bCs/>
          <w:szCs w:val="28"/>
        </w:rPr>
      </w:pPr>
    </w:p>
    <w:p w14:paraId="7D811434" w14:textId="77777777" w:rsidR="008C50F5" w:rsidRPr="00E635A0" w:rsidRDefault="008C50F5" w:rsidP="008C50F5">
      <w:pPr>
        <w:rPr>
          <w:rFonts w:cs="Arial"/>
          <w:bCs/>
          <w:sz w:val="36"/>
          <w:szCs w:val="36"/>
        </w:rPr>
      </w:pPr>
      <w:proofErr w:type="spellStart"/>
      <w:r w:rsidRPr="00E635A0">
        <w:rPr>
          <w:rFonts w:cs="Arial"/>
          <w:bCs/>
          <w:sz w:val="36"/>
          <w:szCs w:val="36"/>
        </w:rPr>
        <w:t>Imtac</w:t>
      </w:r>
      <w:proofErr w:type="spellEnd"/>
      <w:r w:rsidRPr="00E635A0">
        <w:rPr>
          <w:rFonts w:cs="Arial"/>
          <w:bCs/>
          <w:sz w:val="36"/>
          <w:szCs w:val="36"/>
        </w:rPr>
        <w:t xml:space="preserve"> is committed to making information about our work accessible.  Details of how to obtain information in your preferred format are included on the next page.</w:t>
      </w:r>
    </w:p>
    <w:p w14:paraId="5BF11263" w14:textId="77777777" w:rsidR="008C50F5" w:rsidRPr="008C50F5" w:rsidRDefault="008C50F5" w:rsidP="008C50F5">
      <w:pPr>
        <w:rPr>
          <w:rFonts w:ascii="Arial" w:hAnsi="Arial" w:cs="Arial"/>
          <w:b/>
          <w:sz w:val="28"/>
          <w:szCs w:val="28"/>
        </w:rPr>
      </w:pPr>
      <w:r w:rsidRPr="00E635A0">
        <w:rPr>
          <w:rFonts w:cs="Arial"/>
          <w:b/>
          <w:szCs w:val="28"/>
        </w:rPr>
        <w:br w:type="page"/>
      </w:r>
      <w:r w:rsidRPr="008C50F5">
        <w:rPr>
          <w:rFonts w:ascii="Arial" w:hAnsi="Arial" w:cs="Arial"/>
          <w:b/>
          <w:sz w:val="28"/>
          <w:szCs w:val="28"/>
        </w:rPr>
        <w:lastRenderedPageBreak/>
        <w:t>Making our information accessible</w:t>
      </w:r>
    </w:p>
    <w:p w14:paraId="4A5B57C6" w14:textId="77777777" w:rsidR="008C50F5" w:rsidRPr="008C50F5" w:rsidRDefault="008C50F5" w:rsidP="008C50F5">
      <w:pPr>
        <w:rPr>
          <w:rFonts w:ascii="Arial" w:hAnsi="Arial" w:cs="Arial"/>
          <w:b/>
          <w:sz w:val="28"/>
          <w:szCs w:val="28"/>
        </w:rPr>
      </w:pPr>
    </w:p>
    <w:p w14:paraId="2D4331C7" w14:textId="76E0FB21" w:rsidR="008C50F5" w:rsidRPr="008C50F5" w:rsidRDefault="008C50F5" w:rsidP="008C50F5">
      <w:pPr>
        <w:rPr>
          <w:rFonts w:ascii="Arial" w:hAnsi="Arial" w:cs="Arial"/>
          <w:sz w:val="28"/>
          <w:szCs w:val="28"/>
        </w:rPr>
      </w:pPr>
      <w:r w:rsidRPr="008C50F5">
        <w:rPr>
          <w:rFonts w:ascii="Arial" w:hAnsi="Arial" w:cs="Arial"/>
          <w:sz w:val="28"/>
          <w:szCs w:val="28"/>
        </w:rPr>
        <w:t xml:space="preserve">As an organisation of and for </w:t>
      </w:r>
      <w:r>
        <w:rPr>
          <w:rFonts w:ascii="Arial" w:hAnsi="Arial" w:cs="Arial"/>
          <w:sz w:val="28"/>
          <w:szCs w:val="28"/>
        </w:rPr>
        <w:t xml:space="preserve">Deaf people, </w:t>
      </w:r>
      <w:r w:rsidRPr="008C50F5">
        <w:rPr>
          <w:rFonts w:ascii="Arial" w:hAnsi="Arial" w:cs="Arial"/>
          <w:sz w:val="28"/>
          <w:szCs w:val="28"/>
        </w:rPr>
        <w:t xml:space="preserve">disabled people and older people </w:t>
      </w:r>
      <w:proofErr w:type="spellStart"/>
      <w:r w:rsidRPr="008C50F5">
        <w:rPr>
          <w:rFonts w:ascii="Arial" w:hAnsi="Arial" w:cs="Arial"/>
          <w:sz w:val="28"/>
          <w:szCs w:val="28"/>
        </w:rPr>
        <w:t>Imtac</w:t>
      </w:r>
      <w:proofErr w:type="spellEnd"/>
      <w:r w:rsidRPr="008C50F5">
        <w:rPr>
          <w:rFonts w:ascii="Arial" w:hAnsi="Arial" w:cs="Arial"/>
          <w:sz w:val="28"/>
          <w:szCs w:val="28"/>
        </w:rPr>
        <w:t xml:space="preserve"> recognises that the way information is provided can be a barrier to accessing services and participation in public life.  We are committed to providing information about our work in formats that best suit the needs of individuals.</w:t>
      </w:r>
    </w:p>
    <w:p w14:paraId="05D979E3" w14:textId="77777777" w:rsidR="008C50F5" w:rsidRPr="008C50F5" w:rsidRDefault="008C50F5" w:rsidP="008C50F5">
      <w:pPr>
        <w:rPr>
          <w:rFonts w:ascii="Arial" w:hAnsi="Arial" w:cs="Arial"/>
          <w:sz w:val="28"/>
          <w:szCs w:val="28"/>
        </w:rPr>
      </w:pPr>
    </w:p>
    <w:p w14:paraId="03259DBC" w14:textId="77777777" w:rsidR="008C50F5" w:rsidRPr="008C50F5" w:rsidRDefault="008C50F5" w:rsidP="008C50F5">
      <w:pPr>
        <w:rPr>
          <w:rFonts w:ascii="Arial" w:hAnsi="Arial" w:cs="Arial"/>
          <w:sz w:val="28"/>
          <w:szCs w:val="28"/>
        </w:rPr>
      </w:pPr>
      <w:r w:rsidRPr="008C50F5">
        <w:rPr>
          <w:rFonts w:ascii="Arial" w:hAnsi="Arial" w:cs="Arial"/>
          <w:sz w:val="28"/>
          <w:szCs w:val="28"/>
        </w:rPr>
        <w:t xml:space="preserve">All our documents are available in hard copy in 14pt type size as standard.  We also provide word and pdf versions of our documents on our website – </w:t>
      </w:r>
      <w:hyperlink r:id="rId9" w:history="1">
        <w:r w:rsidRPr="008C50F5">
          <w:rPr>
            <w:rStyle w:val="Hyperlink"/>
            <w:rFonts w:ascii="Arial" w:hAnsi="Arial" w:cs="Arial"/>
            <w:sz w:val="28"/>
            <w:szCs w:val="28"/>
          </w:rPr>
          <w:t>www.imtac.org.uk</w:t>
        </w:r>
      </w:hyperlink>
      <w:r w:rsidRPr="008C50F5">
        <w:rPr>
          <w:rFonts w:ascii="Arial" w:hAnsi="Arial" w:cs="Arial"/>
          <w:sz w:val="28"/>
          <w:szCs w:val="28"/>
        </w:rPr>
        <w:t xml:space="preserve">.  In </w:t>
      </w:r>
      <w:proofErr w:type="gramStart"/>
      <w:r w:rsidRPr="008C50F5">
        <w:rPr>
          <w:rFonts w:ascii="Arial" w:hAnsi="Arial" w:cs="Arial"/>
          <w:sz w:val="28"/>
          <w:szCs w:val="28"/>
        </w:rPr>
        <w:t>addition</w:t>
      </w:r>
      <w:proofErr w:type="gramEnd"/>
      <w:r w:rsidRPr="008C50F5">
        <w:rPr>
          <w:rFonts w:ascii="Arial" w:hAnsi="Arial" w:cs="Arial"/>
          <w:sz w:val="28"/>
          <w:szCs w:val="28"/>
        </w:rPr>
        <w:t xml:space="preserve"> we will provide information in a range of other formats.  These formats include:</w:t>
      </w:r>
    </w:p>
    <w:p w14:paraId="5520E57A" w14:textId="77777777" w:rsidR="008C50F5" w:rsidRPr="008C50F5" w:rsidRDefault="008C50F5" w:rsidP="008C50F5">
      <w:pPr>
        <w:rPr>
          <w:rFonts w:ascii="Arial" w:hAnsi="Arial" w:cs="Arial"/>
          <w:sz w:val="28"/>
          <w:szCs w:val="28"/>
        </w:rPr>
      </w:pPr>
    </w:p>
    <w:p w14:paraId="6A104B4B" w14:textId="77777777" w:rsidR="008C50F5" w:rsidRPr="008C50F5" w:rsidRDefault="008C50F5" w:rsidP="008C50F5">
      <w:pPr>
        <w:numPr>
          <w:ilvl w:val="0"/>
          <w:numId w:val="3"/>
        </w:numPr>
        <w:spacing w:line="276" w:lineRule="auto"/>
        <w:rPr>
          <w:rFonts w:ascii="Arial" w:hAnsi="Arial" w:cs="Arial"/>
          <w:sz w:val="28"/>
          <w:szCs w:val="28"/>
        </w:rPr>
      </w:pPr>
      <w:r w:rsidRPr="008C50F5">
        <w:rPr>
          <w:rFonts w:ascii="Arial" w:hAnsi="Arial" w:cs="Arial"/>
          <w:sz w:val="28"/>
          <w:szCs w:val="28"/>
        </w:rPr>
        <w:t>Large print</w:t>
      </w:r>
    </w:p>
    <w:p w14:paraId="0E256227" w14:textId="77777777" w:rsidR="008C50F5" w:rsidRPr="008C50F5" w:rsidRDefault="008C50F5" w:rsidP="008C50F5">
      <w:pPr>
        <w:numPr>
          <w:ilvl w:val="0"/>
          <w:numId w:val="3"/>
        </w:numPr>
        <w:spacing w:line="276" w:lineRule="auto"/>
        <w:rPr>
          <w:rFonts w:ascii="Arial" w:hAnsi="Arial" w:cs="Arial"/>
          <w:sz w:val="28"/>
          <w:szCs w:val="28"/>
        </w:rPr>
      </w:pPr>
      <w:r w:rsidRPr="008C50F5">
        <w:rPr>
          <w:rFonts w:ascii="Arial" w:hAnsi="Arial" w:cs="Arial"/>
          <w:sz w:val="28"/>
          <w:szCs w:val="28"/>
        </w:rPr>
        <w:t>Audio versions</w:t>
      </w:r>
    </w:p>
    <w:p w14:paraId="4B3326D8" w14:textId="77777777" w:rsidR="008C50F5" w:rsidRPr="008C50F5" w:rsidRDefault="008C50F5" w:rsidP="008C50F5">
      <w:pPr>
        <w:numPr>
          <w:ilvl w:val="0"/>
          <w:numId w:val="3"/>
        </w:numPr>
        <w:spacing w:line="276" w:lineRule="auto"/>
        <w:rPr>
          <w:rFonts w:ascii="Arial" w:hAnsi="Arial" w:cs="Arial"/>
          <w:sz w:val="28"/>
          <w:szCs w:val="28"/>
        </w:rPr>
      </w:pPr>
      <w:r w:rsidRPr="008C50F5">
        <w:rPr>
          <w:rFonts w:ascii="Arial" w:hAnsi="Arial" w:cs="Arial"/>
          <w:sz w:val="28"/>
          <w:szCs w:val="28"/>
        </w:rPr>
        <w:t>Braille</w:t>
      </w:r>
    </w:p>
    <w:p w14:paraId="0465FA8C" w14:textId="77777777" w:rsidR="008C50F5" w:rsidRPr="008C50F5" w:rsidRDefault="008C50F5" w:rsidP="008C50F5">
      <w:pPr>
        <w:numPr>
          <w:ilvl w:val="0"/>
          <w:numId w:val="3"/>
        </w:numPr>
        <w:spacing w:line="276" w:lineRule="auto"/>
        <w:rPr>
          <w:rFonts w:ascii="Arial" w:hAnsi="Arial" w:cs="Arial"/>
          <w:sz w:val="28"/>
          <w:szCs w:val="28"/>
        </w:rPr>
      </w:pPr>
      <w:r w:rsidRPr="008C50F5">
        <w:rPr>
          <w:rFonts w:ascii="Arial" w:hAnsi="Arial" w:cs="Arial"/>
          <w:sz w:val="28"/>
          <w:szCs w:val="28"/>
        </w:rPr>
        <w:t>Electronic copies on disc or via email in PDF or word</w:t>
      </w:r>
    </w:p>
    <w:p w14:paraId="57498AAD" w14:textId="77777777" w:rsidR="008C50F5" w:rsidRPr="008C50F5" w:rsidRDefault="008C50F5" w:rsidP="008C50F5">
      <w:pPr>
        <w:numPr>
          <w:ilvl w:val="0"/>
          <w:numId w:val="3"/>
        </w:numPr>
        <w:spacing w:line="276" w:lineRule="auto"/>
        <w:rPr>
          <w:rFonts w:ascii="Arial" w:hAnsi="Arial" w:cs="Arial"/>
          <w:sz w:val="28"/>
          <w:szCs w:val="28"/>
        </w:rPr>
      </w:pPr>
      <w:r w:rsidRPr="008C50F5">
        <w:rPr>
          <w:rFonts w:ascii="Arial" w:hAnsi="Arial" w:cs="Arial"/>
          <w:sz w:val="28"/>
          <w:szCs w:val="28"/>
        </w:rPr>
        <w:t>Easy read</w:t>
      </w:r>
    </w:p>
    <w:p w14:paraId="3B59E311" w14:textId="77777777" w:rsidR="008C50F5" w:rsidRPr="008C50F5" w:rsidRDefault="008C50F5" w:rsidP="008C50F5">
      <w:pPr>
        <w:numPr>
          <w:ilvl w:val="0"/>
          <w:numId w:val="3"/>
        </w:numPr>
        <w:spacing w:line="276" w:lineRule="auto"/>
        <w:rPr>
          <w:rFonts w:ascii="Arial" w:hAnsi="Arial" w:cs="Arial"/>
          <w:sz w:val="28"/>
          <w:szCs w:val="28"/>
        </w:rPr>
      </w:pPr>
      <w:r w:rsidRPr="008C50F5">
        <w:rPr>
          <w:rFonts w:ascii="Arial" w:hAnsi="Arial" w:cs="Arial"/>
          <w:sz w:val="28"/>
          <w:szCs w:val="28"/>
        </w:rPr>
        <w:t>Information about our work in other languages</w:t>
      </w:r>
    </w:p>
    <w:p w14:paraId="0268E350" w14:textId="77777777" w:rsidR="008C50F5" w:rsidRPr="008C50F5" w:rsidRDefault="008C50F5" w:rsidP="008C50F5">
      <w:pPr>
        <w:ind w:left="720"/>
        <w:rPr>
          <w:rFonts w:ascii="Arial" w:hAnsi="Arial" w:cs="Arial"/>
          <w:sz w:val="28"/>
          <w:szCs w:val="28"/>
        </w:rPr>
      </w:pPr>
    </w:p>
    <w:p w14:paraId="0CE52944" w14:textId="77777777" w:rsidR="008C50F5" w:rsidRPr="008C50F5" w:rsidRDefault="008C50F5" w:rsidP="008C50F5">
      <w:pPr>
        <w:rPr>
          <w:rFonts w:ascii="Arial" w:hAnsi="Arial" w:cs="Arial"/>
          <w:sz w:val="28"/>
          <w:szCs w:val="28"/>
        </w:rPr>
      </w:pPr>
      <w:r w:rsidRPr="008C50F5">
        <w:rPr>
          <w:rFonts w:ascii="Arial" w:hAnsi="Arial" w:cs="Arial"/>
          <w:sz w:val="28"/>
          <w:szCs w:val="28"/>
        </w:rPr>
        <w:t xml:space="preserve">If you would like this publication in any of the formats listed above or if you have any other information </w:t>
      </w:r>
      <w:proofErr w:type="gramStart"/>
      <w:r w:rsidRPr="008C50F5">
        <w:rPr>
          <w:rFonts w:ascii="Arial" w:hAnsi="Arial" w:cs="Arial"/>
          <w:sz w:val="28"/>
          <w:szCs w:val="28"/>
        </w:rPr>
        <w:t>requirements</w:t>
      </w:r>
      <w:proofErr w:type="gramEnd"/>
      <w:r w:rsidRPr="008C50F5">
        <w:rPr>
          <w:rFonts w:ascii="Arial" w:hAnsi="Arial" w:cs="Arial"/>
          <w:sz w:val="28"/>
          <w:szCs w:val="28"/>
        </w:rPr>
        <w:t xml:space="preserve"> please contact:</w:t>
      </w:r>
    </w:p>
    <w:p w14:paraId="4E6CC7D5" w14:textId="77777777" w:rsidR="008C50F5" w:rsidRPr="008C50F5" w:rsidRDefault="008C50F5" w:rsidP="008C50F5">
      <w:pPr>
        <w:rPr>
          <w:rFonts w:ascii="Arial" w:hAnsi="Arial" w:cs="Arial"/>
          <w:sz w:val="28"/>
          <w:szCs w:val="28"/>
        </w:rPr>
      </w:pPr>
    </w:p>
    <w:p w14:paraId="3E3B14B4" w14:textId="77777777" w:rsidR="008C50F5" w:rsidRPr="008C50F5" w:rsidRDefault="008C50F5" w:rsidP="008C50F5">
      <w:pPr>
        <w:rPr>
          <w:rFonts w:ascii="Arial" w:hAnsi="Arial" w:cs="Arial"/>
          <w:sz w:val="28"/>
          <w:szCs w:val="28"/>
        </w:rPr>
      </w:pPr>
      <w:r w:rsidRPr="008C50F5">
        <w:rPr>
          <w:rFonts w:ascii="Arial" w:hAnsi="Arial" w:cs="Arial"/>
          <w:sz w:val="28"/>
          <w:szCs w:val="28"/>
        </w:rPr>
        <w:t>Michael Lorimer</w:t>
      </w:r>
    </w:p>
    <w:p w14:paraId="7B96223E" w14:textId="77777777" w:rsidR="008C50F5" w:rsidRPr="008C50F5" w:rsidRDefault="008C50F5" w:rsidP="008C50F5">
      <w:pPr>
        <w:rPr>
          <w:rFonts w:ascii="Arial" w:hAnsi="Arial" w:cs="Arial"/>
          <w:sz w:val="28"/>
          <w:szCs w:val="28"/>
        </w:rPr>
      </w:pPr>
      <w:proofErr w:type="spellStart"/>
      <w:r w:rsidRPr="008C50F5">
        <w:rPr>
          <w:rFonts w:ascii="Arial" w:hAnsi="Arial" w:cs="Arial"/>
          <w:sz w:val="28"/>
          <w:szCs w:val="28"/>
        </w:rPr>
        <w:t>Imtac</w:t>
      </w:r>
      <w:proofErr w:type="spellEnd"/>
    </w:p>
    <w:p w14:paraId="49AC9118" w14:textId="77777777" w:rsidR="008C50F5" w:rsidRPr="008C50F5" w:rsidRDefault="008C50F5" w:rsidP="008C50F5">
      <w:pPr>
        <w:rPr>
          <w:rFonts w:ascii="Arial" w:hAnsi="Arial" w:cs="Arial"/>
          <w:sz w:val="28"/>
          <w:szCs w:val="28"/>
        </w:rPr>
      </w:pPr>
      <w:r w:rsidRPr="008C50F5">
        <w:rPr>
          <w:rFonts w:ascii="Arial" w:hAnsi="Arial" w:cs="Arial"/>
          <w:sz w:val="28"/>
          <w:szCs w:val="28"/>
        </w:rPr>
        <w:t>Titanic Suites</w:t>
      </w:r>
    </w:p>
    <w:p w14:paraId="7C472732" w14:textId="77777777" w:rsidR="008C50F5" w:rsidRPr="008C50F5" w:rsidRDefault="008C50F5" w:rsidP="008C50F5">
      <w:pPr>
        <w:rPr>
          <w:rFonts w:ascii="Arial" w:hAnsi="Arial" w:cs="Arial"/>
          <w:sz w:val="28"/>
          <w:szCs w:val="28"/>
        </w:rPr>
      </w:pPr>
      <w:r w:rsidRPr="008C50F5">
        <w:rPr>
          <w:rFonts w:ascii="Arial" w:hAnsi="Arial" w:cs="Arial"/>
          <w:sz w:val="28"/>
          <w:szCs w:val="28"/>
        </w:rPr>
        <w:t>55-59 Adelaide Street</w:t>
      </w:r>
    </w:p>
    <w:p w14:paraId="50B7B56E" w14:textId="77777777" w:rsidR="008C50F5" w:rsidRPr="008C50F5" w:rsidRDefault="008C50F5" w:rsidP="008C50F5">
      <w:pPr>
        <w:rPr>
          <w:rFonts w:ascii="Arial" w:hAnsi="Arial" w:cs="Arial"/>
          <w:sz w:val="28"/>
          <w:szCs w:val="28"/>
        </w:rPr>
      </w:pPr>
      <w:proofErr w:type="gramStart"/>
      <w:r w:rsidRPr="008C50F5">
        <w:rPr>
          <w:rFonts w:ascii="Arial" w:hAnsi="Arial" w:cs="Arial"/>
          <w:sz w:val="28"/>
          <w:szCs w:val="28"/>
        </w:rPr>
        <w:t>Belfast  BT</w:t>
      </w:r>
      <w:proofErr w:type="gramEnd"/>
      <w:r w:rsidRPr="008C50F5">
        <w:rPr>
          <w:rFonts w:ascii="Arial" w:hAnsi="Arial" w:cs="Arial"/>
          <w:sz w:val="28"/>
          <w:szCs w:val="28"/>
        </w:rPr>
        <w:t>2 8FE</w:t>
      </w:r>
    </w:p>
    <w:p w14:paraId="32B81800" w14:textId="77777777" w:rsidR="008C50F5" w:rsidRPr="008C50F5" w:rsidRDefault="008C50F5" w:rsidP="008C50F5">
      <w:pPr>
        <w:rPr>
          <w:rFonts w:ascii="Arial" w:hAnsi="Arial" w:cs="Arial"/>
          <w:sz w:val="28"/>
          <w:szCs w:val="28"/>
        </w:rPr>
      </w:pPr>
    </w:p>
    <w:p w14:paraId="5B7D8613" w14:textId="77777777" w:rsidR="008C50F5" w:rsidRPr="008C50F5" w:rsidRDefault="008C50F5" w:rsidP="008C50F5">
      <w:pPr>
        <w:rPr>
          <w:rFonts w:ascii="Arial" w:hAnsi="Arial" w:cs="Arial"/>
          <w:sz w:val="28"/>
          <w:szCs w:val="28"/>
        </w:rPr>
      </w:pPr>
      <w:r w:rsidRPr="008C50F5">
        <w:rPr>
          <w:rFonts w:ascii="Arial" w:hAnsi="Arial" w:cs="Arial"/>
          <w:sz w:val="28"/>
          <w:szCs w:val="28"/>
        </w:rPr>
        <w:t>Telephone/Textphone: 028 9072 6020</w:t>
      </w:r>
    </w:p>
    <w:p w14:paraId="798D6B14" w14:textId="77777777" w:rsidR="008C50F5" w:rsidRPr="008C50F5" w:rsidRDefault="008C50F5" w:rsidP="008C50F5">
      <w:pPr>
        <w:rPr>
          <w:rFonts w:ascii="Arial" w:hAnsi="Arial" w:cs="Arial"/>
          <w:color w:val="0000FF"/>
          <w:sz w:val="28"/>
          <w:szCs w:val="28"/>
          <w:u w:val="single"/>
        </w:rPr>
      </w:pPr>
      <w:r w:rsidRPr="008C50F5">
        <w:rPr>
          <w:rFonts w:ascii="Arial" w:hAnsi="Arial" w:cs="Arial"/>
          <w:sz w:val="28"/>
          <w:szCs w:val="28"/>
        </w:rPr>
        <w:t>Email:</w:t>
      </w:r>
      <w:r w:rsidRPr="008C50F5">
        <w:rPr>
          <w:rFonts w:ascii="Arial" w:hAnsi="Arial" w:cs="Arial"/>
          <w:sz w:val="28"/>
          <w:szCs w:val="28"/>
        </w:rPr>
        <w:tab/>
      </w:r>
      <w:hyperlink r:id="rId10" w:history="1">
        <w:r w:rsidRPr="008C50F5">
          <w:rPr>
            <w:rStyle w:val="Hyperlink"/>
            <w:rFonts w:ascii="Arial" w:hAnsi="Arial" w:cs="Arial"/>
            <w:sz w:val="28"/>
            <w:szCs w:val="28"/>
          </w:rPr>
          <w:t>info@imtac.org.uk</w:t>
        </w:r>
      </w:hyperlink>
    </w:p>
    <w:p w14:paraId="4151D8D9" w14:textId="77777777" w:rsidR="008C50F5" w:rsidRPr="008C50F5" w:rsidRDefault="008C50F5" w:rsidP="008C50F5">
      <w:pPr>
        <w:rPr>
          <w:rFonts w:ascii="Arial" w:hAnsi="Arial" w:cs="Arial"/>
          <w:sz w:val="28"/>
          <w:szCs w:val="28"/>
        </w:rPr>
      </w:pPr>
      <w:r w:rsidRPr="008C50F5">
        <w:rPr>
          <w:rFonts w:ascii="Arial" w:hAnsi="Arial" w:cs="Arial"/>
          <w:sz w:val="28"/>
          <w:szCs w:val="28"/>
        </w:rPr>
        <w:t>Website:</w:t>
      </w:r>
      <w:r w:rsidRPr="008C50F5">
        <w:rPr>
          <w:rFonts w:ascii="Arial" w:hAnsi="Arial" w:cs="Arial"/>
          <w:sz w:val="28"/>
          <w:szCs w:val="28"/>
        </w:rPr>
        <w:tab/>
      </w:r>
      <w:hyperlink r:id="rId11" w:history="1">
        <w:r w:rsidRPr="008C50F5">
          <w:rPr>
            <w:rStyle w:val="Hyperlink"/>
            <w:rFonts w:ascii="Arial" w:hAnsi="Arial" w:cs="Arial"/>
            <w:sz w:val="28"/>
            <w:szCs w:val="28"/>
          </w:rPr>
          <w:t>www.imtac.org.uk</w:t>
        </w:r>
      </w:hyperlink>
      <w:r w:rsidRPr="008C50F5">
        <w:rPr>
          <w:rFonts w:ascii="Arial" w:hAnsi="Arial" w:cs="Arial"/>
          <w:sz w:val="28"/>
          <w:szCs w:val="28"/>
        </w:rPr>
        <w:t xml:space="preserve"> </w:t>
      </w:r>
    </w:p>
    <w:p w14:paraId="7BF8DCF6" w14:textId="77777777" w:rsidR="008C50F5" w:rsidRPr="008C50F5" w:rsidRDefault="008C50F5" w:rsidP="008C50F5">
      <w:pPr>
        <w:rPr>
          <w:rFonts w:ascii="Arial" w:hAnsi="Arial" w:cs="Arial"/>
          <w:sz w:val="28"/>
          <w:szCs w:val="28"/>
        </w:rPr>
      </w:pPr>
      <w:r w:rsidRPr="008C50F5">
        <w:rPr>
          <w:rFonts w:ascii="Arial" w:hAnsi="Arial" w:cs="Arial"/>
          <w:sz w:val="28"/>
          <w:szCs w:val="28"/>
        </w:rPr>
        <w:t xml:space="preserve">Twitter: </w:t>
      </w:r>
      <w:r w:rsidRPr="008C50F5">
        <w:rPr>
          <w:rFonts w:ascii="Arial" w:hAnsi="Arial" w:cs="Arial"/>
          <w:sz w:val="28"/>
          <w:szCs w:val="28"/>
        </w:rPr>
        <w:tab/>
        <w:t>@ImtacNI</w:t>
      </w:r>
    </w:p>
    <w:p w14:paraId="209A7F32" w14:textId="77777777" w:rsidR="004871B4" w:rsidRDefault="004871B4">
      <w:pPr>
        <w:rPr>
          <w:rFonts w:ascii="Arial" w:hAnsi="Arial" w:cs="Arial"/>
          <w:sz w:val="28"/>
          <w:szCs w:val="28"/>
        </w:rPr>
      </w:pPr>
    </w:p>
    <w:p w14:paraId="04AEA427" w14:textId="77777777" w:rsidR="008C50F5" w:rsidRDefault="008C50F5">
      <w:pPr>
        <w:rPr>
          <w:rFonts w:ascii="Arial" w:eastAsia="Calibri" w:hAnsi="Arial" w:cs="Arial"/>
          <w:b/>
          <w:sz w:val="28"/>
          <w:szCs w:val="28"/>
        </w:rPr>
      </w:pPr>
      <w:r>
        <w:rPr>
          <w:rFonts w:ascii="Arial" w:eastAsia="Calibri" w:hAnsi="Arial" w:cs="Arial"/>
          <w:b/>
          <w:sz w:val="28"/>
          <w:szCs w:val="28"/>
        </w:rPr>
        <w:br w:type="page"/>
      </w:r>
    </w:p>
    <w:p w14:paraId="16D05598" w14:textId="59C56488" w:rsidR="008C50F5" w:rsidRPr="008C50F5" w:rsidRDefault="008C50F5" w:rsidP="008C50F5">
      <w:pPr>
        <w:rPr>
          <w:rFonts w:ascii="Arial" w:eastAsia="Calibri" w:hAnsi="Arial" w:cs="Arial"/>
          <w:b/>
          <w:sz w:val="28"/>
          <w:szCs w:val="28"/>
        </w:rPr>
      </w:pPr>
      <w:r w:rsidRPr="008C50F5">
        <w:rPr>
          <w:rFonts w:ascii="Arial" w:eastAsia="Calibri" w:hAnsi="Arial" w:cs="Arial"/>
          <w:b/>
          <w:sz w:val="28"/>
          <w:szCs w:val="28"/>
        </w:rPr>
        <w:lastRenderedPageBreak/>
        <w:t xml:space="preserve">About </w:t>
      </w:r>
      <w:proofErr w:type="spellStart"/>
      <w:r w:rsidRPr="008C50F5">
        <w:rPr>
          <w:rFonts w:ascii="Arial" w:eastAsia="Calibri" w:hAnsi="Arial" w:cs="Arial"/>
          <w:b/>
          <w:sz w:val="28"/>
          <w:szCs w:val="28"/>
        </w:rPr>
        <w:t>Imtac</w:t>
      </w:r>
      <w:proofErr w:type="spellEnd"/>
    </w:p>
    <w:p w14:paraId="51705FBD" w14:textId="77777777" w:rsidR="008C50F5" w:rsidRPr="008C50F5" w:rsidRDefault="008C50F5" w:rsidP="008C50F5">
      <w:pPr>
        <w:rPr>
          <w:rFonts w:ascii="Arial" w:eastAsia="Calibri" w:hAnsi="Arial" w:cs="Arial"/>
          <w:b/>
          <w:sz w:val="28"/>
          <w:szCs w:val="28"/>
        </w:rPr>
      </w:pPr>
    </w:p>
    <w:p w14:paraId="5F15C65A" w14:textId="77777777" w:rsidR="008C50F5" w:rsidRPr="008C50F5" w:rsidRDefault="008C50F5" w:rsidP="008C50F5">
      <w:pPr>
        <w:rPr>
          <w:rFonts w:ascii="Arial" w:eastAsia="Calibri" w:hAnsi="Arial" w:cs="Arial"/>
          <w:sz w:val="28"/>
          <w:szCs w:val="28"/>
        </w:rPr>
      </w:pPr>
      <w:r w:rsidRPr="008C50F5">
        <w:rPr>
          <w:rFonts w:ascii="Arial" w:eastAsia="Calibri" w:hAnsi="Arial" w:cs="Arial"/>
          <w:sz w:val="28"/>
          <w:szCs w:val="28"/>
        </w:rPr>
        <w:t>The Inclusive Mobility and Transport Advisory Committee (</w:t>
      </w:r>
      <w:proofErr w:type="spellStart"/>
      <w:r w:rsidRPr="008C50F5">
        <w:rPr>
          <w:rFonts w:ascii="Arial" w:eastAsia="Calibri" w:hAnsi="Arial" w:cs="Arial"/>
          <w:sz w:val="28"/>
          <w:szCs w:val="28"/>
        </w:rPr>
        <w:t>Imtac</w:t>
      </w:r>
      <w:proofErr w:type="spellEnd"/>
      <w:r w:rsidRPr="008C50F5">
        <w:rPr>
          <w:rFonts w:ascii="Arial" w:eastAsia="Calibri" w:hAnsi="Arial" w:cs="Arial"/>
          <w:sz w:val="28"/>
          <w:szCs w:val="28"/>
        </w:rPr>
        <w:t>)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61674BBA" w14:textId="77777777" w:rsidR="008C50F5" w:rsidRPr="008C50F5" w:rsidRDefault="008C50F5" w:rsidP="008C50F5">
      <w:pPr>
        <w:rPr>
          <w:rFonts w:ascii="Arial" w:eastAsia="Calibri" w:hAnsi="Arial" w:cs="Arial"/>
          <w:sz w:val="28"/>
          <w:szCs w:val="28"/>
        </w:rPr>
      </w:pPr>
    </w:p>
    <w:p w14:paraId="52D10106" w14:textId="77777777" w:rsidR="008C50F5" w:rsidRPr="008C50F5" w:rsidRDefault="008C50F5" w:rsidP="008C50F5">
      <w:pPr>
        <w:rPr>
          <w:rFonts w:ascii="Arial" w:eastAsia="Calibri" w:hAnsi="Arial" w:cs="Arial"/>
          <w:sz w:val="28"/>
          <w:szCs w:val="28"/>
        </w:rPr>
      </w:pPr>
      <w:r w:rsidRPr="008C50F5">
        <w:rPr>
          <w:rFonts w:ascii="Arial" w:eastAsia="Calibri" w:hAnsi="Arial" w:cs="Arial"/>
          <w:sz w:val="28"/>
          <w:szCs w:val="28"/>
        </w:rPr>
        <w:t xml:space="preserve">The aim of </w:t>
      </w:r>
      <w:proofErr w:type="spellStart"/>
      <w:r w:rsidRPr="008C50F5">
        <w:rPr>
          <w:rFonts w:ascii="Arial" w:eastAsia="Calibri" w:hAnsi="Arial" w:cs="Arial"/>
          <w:sz w:val="28"/>
          <w:szCs w:val="28"/>
        </w:rPr>
        <w:t>Imtac</w:t>
      </w:r>
      <w:proofErr w:type="spellEnd"/>
      <w:r w:rsidRPr="008C50F5">
        <w:rPr>
          <w:rFonts w:ascii="Arial" w:eastAsia="Calibri" w:hAnsi="Arial" w:cs="Arial"/>
          <w:sz w:val="28"/>
          <w:szCs w:val="28"/>
        </w:rPr>
        <w:t xml:space="preserve"> is to ensure that Deaf people, disabled people and older people have the same opportunities as everyone else to travel when and where they want.</w:t>
      </w:r>
    </w:p>
    <w:p w14:paraId="372136F2" w14:textId="77777777" w:rsidR="008C50F5" w:rsidRPr="008C50F5" w:rsidRDefault="008C50F5" w:rsidP="008C50F5">
      <w:pPr>
        <w:rPr>
          <w:rFonts w:ascii="Arial" w:eastAsia="Calibri" w:hAnsi="Arial" w:cs="Arial"/>
          <w:sz w:val="28"/>
          <w:szCs w:val="28"/>
        </w:rPr>
      </w:pPr>
    </w:p>
    <w:p w14:paraId="1045ADBF" w14:textId="77777777" w:rsidR="008C50F5" w:rsidRPr="008C50F5" w:rsidRDefault="008C50F5" w:rsidP="008C50F5">
      <w:pPr>
        <w:rPr>
          <w:rFonts w:ascii="Arial" w:eastAsia="Calibri" w:hAnsi="Arial" w:cs="Arial"/>
          <w:sz w:val="28"/>
          <w:szCs w:val="28"/>
        </w:rPr>
      </w:pPr>
      <w:proofErr w:type="spellStart"/>
      <w:r w:rsidRPr="008C50F5">
        <w:rPr>
          <w:rFonts w:ascii="Arial" w:eastAsia="Calibri" w:hAnsi="Arial" w:cs="Arial"/>
          <w:sz w:val="28"/>
          <w:szCs w:val="28"/>
        </w:rPr>
        <w:t>Imtac</w:t>
      </w:r>
      <w:proofErr w:type="spellEnd"/>
      <w:r w:rsidRPr="008C50F5">
        <w:rPr>
          <w:rFonts w:ascii="Arial" w:eastAsia="Calibri" w:hAnsi="Arial" w:cs="Arial"/>
          <w:sz w:val="28"/>
          <w:szCs w:val="28"/>
        </w:rPr>
        <w:t xml:space="preserve"> receives support from the Department for Infrastructure (herein after referred to as the Department).</w:t>
      </w:r>
    </w:p>
    <w:p w14:paraId="10EFEC44" w14:textId="77777777" w:rsidR="008C50F5" w:rsidRDefault="008C50F5">
      <w:pPr>
        <w:rPr>
          <w:rFonts w:ascii="Arial" w:hAnsi="Arial" w:cs="Arial"/>
          <w:sz w:val="28"/>
          <w:szCs w:val="28"/>
          <w:u w:val="single"/>
        </w:rPr>
      </w:pPr>
    </w:p>
    <w:p w14:paraId="620E6F8A" w14:textId="058D1875" w:rsidR="004871B4" w:rsidRPr="008C50F5" w:rsidRDefault="004871B4">
      <w:pPr>
        <w:rPr>
          <w:rFonts w:ascii="Arial" w:hAnsi="Arial" w:cs="Arial"/>
          <w:b/>
          <w:bCs/>
          <w:sz w:val="28"/>
          <w:szCs w:val="28"/>
        </w:rPr>
      </w:pPr>
      <w:r w:rsidRPr="008C50F5">
        <w:rPr>
          <w:rFonts w:ascii="Arial" w:hAnsi="Arial" w:cs="Arial"/>
          <w:b/>
          <w:bCs/>
          <w:sz w:val="28"/>
          <w:szCs w:val="28"/>
        </w:rPr>
        <w:t>Background</w:t>
      </w:r>
    </w:p>
    <w:p w14:paraId="5ED9DAD2" w14:textId="77777777" w:rsidR="004871B4" w:rsidRDefault="004871B4">
      <w:pPr>
        <w:rPr>
          <w:rFonts w:ascii="Arial" w:hAnsi="Arial" w:cs="Arial"/>
          <w:sz w:val="28"/>
          <w:szCs w:val="28"/>
          <w:u w:val="single"/>
        </w:rPr>
      </w:pPr>
    </w:p>
    <w:p w14:paraId="66AC9463" w14:textId="77777777" w:rsidR="004871B4" w:rsidRDefault="004871B4">
      <w:pPr>
        <w:rPr>
          <w:rFonts w:ascii="Arial" w:hAnsi="Arial" w:cs="Arial"/>
          <w:sz w:val="28"/>
          <w:szCs w:val="28"/>
        </w:rPr>
      </w:pPr>
      <w:r>
        <w:rPr>
          <w:rFonts w:ascii="Arial" w:hAnsi="Arial" w:cs="Arial"/>
          <w:sz w:val="28"/>
          <w:szCs w:val="28"/>
        </w:rPr>
        <w:t xml:space="preserve">Following a recent announcement by Minister Mallon, members of Imtac’s Translink Accessibility Working Group met </w:t>
      </w:r>
      <w:r w:rsidR="00437199">
        <w:rPr>
          <w:rFonts w:ascii="Arial" w:hAnsi="Arial" w:cs="Arial"/>
          <w:sz w:val="28"/>
          <w:szCs w:val="28"/>
        </w:rPr>
        <w:t xml:space="preserve">using Microsoft Teams </w:t>
      </w:r>
      <w:r>
        <w:rPr>
          <w:rFonts w:ascii="Arial" w:hAnsi="Arial" w:cs="Arial"/>
          <w:sz w:val="28"/>
          <w:szCs w:val="28"/>
        </w:rPr>
        <w:t>with Translink representatives to discuss the proposed design of two zero emission vehicles. The first was the design for a Battery Electric Vehicle of which there are 80 on order. The second was the design for a Hydrogen Fuel Cell Electric Vehicle of which there are 20 on order.</w:t>
      </w:r>
    </w:p>
    <w:p w14:paraId="05C57B9A" w14:textId="77777777" w:rsidR="004871B4" w:rsidRDefault="004871B4">
      <w:pPr>
        <w:rPr>
          <w:rFonts w:ascii="Arial" w:hAnsi="Arial" w:cs="Arial"/>
          <w:sz w:val="28"/>
          <w:szCs w:val="28"/>
        </w:rPr>
      </w:pPr>
    </w:p>
    <w:p w14:paraId="04236A10" w14:textId="77777777" w:rsidR="004871B4" w:rsidRDefault="004871B4">
      <w:pPr>
        <w:rPr>
          <w:rFonts w:ascii="Arial" w:hAnsi="Arial" w:cs="Arial"/>
          <w:sz w:val="28"/>
          <w:szCs w:val="28"/>
        </w:rPr>
      </w:pPr>
      <w:r>
        <w:rPr>
          <w:rFonts w:ascii="Arial" w:hAnsi="Arial" w:cs="Arial"/>
          <w:sz w:val="28"/>
          <w:szCs w:val="28"/>
        </w:rPr>
        <w:t>Imtac welcomes and supports investment in zero emission vehicles as a necessary part of responding to the</w:t>
      </w:r>
      <w:r w:rsidR="00E727B2">
        <w:rPr>
          <w:rFonts w:ascii="Arial" w:hAnsi="Arial" w:cs="Arial"/>
          <w:sz w:val="28"/>
          <w:szCs w:val="28"/>
        </w:rPr>
        <w:t xml:space="preserve"> urgency of the</w:t>
      </w:r>
      <w:r>
        <w:rPr>
          <w:rFonts w:ascii="Arial" w:hAnsi="Arial" w:cs="Arial"/>
          <w:sz w:val="28"/>
          <w:szCs w:val="28"/>
        </w:rPr>
        <w:t xml:space="preserve"> climate emergency. The Committee’s primary focus, however, remains on the accessibility and usability of any vehicle purchase. As with other vehicle procurement the Committee measures vehicle design against previously published</w:t>
      </w:r>
      <w:r>
        <w:rPr>
          <w:rStyle w:val="FootnoteReference"/>
          <w:rFonts w:ascii="Arial" w:hAnsi="Arial" w:cs="Arial"/>
          <w:sz w:val="28"/>
          <w:szCs w:val="28"/>
        </w:rPr>
        <w:footnoteReference w:id="1"/>
      </w:r>
      <w:r>
        <w:rPr>
          <w:rFonts w:ascii="Arial" w:hAnsi="Arial" w:cs="Arial"/>
          <w:sz w:val="28"/>
          <w:szCs w:val="28"/>
        </w:rPr>
        <w:t xml:space="preserve"> universal inclusive design principles. As these buses are quiet vehicles comments also reflect proposals to add artificial noise.</w:t>
      </w:r>
    </w:p>
    <w:p w14:paraId="5DA8943E" w14:textId="77777777" w:rsidR="004871B4" w:rsidRDefault="004871B4">
      <w:pPr>
        <w:rPr>
          <w:rFonts w:ascii="Arial" w:hAnsi="Arial" w:cs="Arial"/>
          <w:sz w:val="28"/>
          <w:szCs w:val="28"/>
        </w:rPr>
      </w:pPr>
    </w:p>
    <w:p w14:paraId="274C03B7" w14:textId="77777777" w:rsidR="004871B4" w:rsidRPr="008C50F5" w:rsidRDefault="004871B4">
      <w:pPr>
        <w:rPr>
          <w:rFonts w:ascii="Arial" w:hAnsi="Arial" w:cs="Arial"/>
          <w:b/>
          <w:bCs/>
          <w:sz w:val="28"/>
          <w:szCs w:val="28"/>
        </w:rPr>
      </w:pPr>
      <w:r w:rsidRPr="008C50F5">
        <w:rPr>
          <w:rFonts w:ascii="Arial" w:hAnsi="Arial" w:cs="Arial"/>
          <w:b/>
          <w:bCs/>
          <w:sz w:val="28"/>
          <w:szCs w:val="28"/>
        </w:rPr>
        <w:t>The move to dual door vehicles</w:t>
      </w:r>
    </w:p>
    <w:p w14:paraId="2A373A41" w14:textId="77777777" w:rsidR="004871B4" w:rsidRDefault="004871B4">
      <w:pPr>
        <w:rPr>
          <w:rFonts w:ascii="Arial" w:hAnsi="Arial" w:cs="Arial"/>
          <w:sz w:val="28"/>
          <w:szCs w:val="28"/>
          <w:u w:val="single"/>
        </w:rPr>
      </w:pPr>
    </w:p>
    <w:p w14:paraId="23C2A0FD" w14:textId="77777777" w:rsidR="004871B4" w:rsidRDefault="004871B4">
      <w:pPr>
        <w:rPr>
          <w:rFonts w:ascii="Arial" w:hAnsi="Arial" w:cs="Arial"/>
          <w:sz w:val="28"/>
          <w:szCs w:val="28"/>
        </w:rPr>
      </w:pPr>
      <w:r>
        <w:rPr>
          <w:rFonts w:ascii="Arial" w:hAnsi="Arial" w:cs="Arial"/>
          <w:sz w:val="28"/>
          <w:szCs w:val="28"/>
        </w:rPr>
        <w:t>Before commenting on each vehicle design Imtac believes that it should comment on the decision to move to a dual rather than single door design on the two vehicles. The rationale for this decision is to reduce dwell times at bus stops by speeding up boarding and alighting and is based on the success of the Glider service in this regard.</w:t>
      </w:r>
    </w:p>
    <w:p w14:paraId="7CA6C76C" w14:textId="77777777" w:rsidR="004871B4" w:rsidRDefault="004871B4">
      <w:pPr>
        <w:rPr>
          <w:rFonts w:ascii="Arial" w:hAnsi="Arial" w:cs="Arial"/>
          <w:sz w:val="28"/>
          <w:szCs w:val="28"/>
        </w:rPr>
      </w:pPr>
    </w:p>
    <w:p w14:paraId="253D7F4F" w14:textId="6DB98C89" w:rsidR="004871B4" w:rsidRDefault="007108A4">
      <w:pPr>
        <w:rPr>
          <w:rFonts w:ascii="Arial" w:hAnsi="Arial" w:cs="Arial"/>
          <w:sz w:val="28"/>
          <w:szCs w:val="28"/>
        </w:rPr>
      </w:pPr>
      <w:r>
        <w:rPr>
          <w:rFonts w:ascii="Arial" w:hAnsi="Arial" w:cs="Arial"/>
          <w:sz w:val="28"/>
          <w:szCs w:val="28"/>
        </w:rPr>
        <w:t xml:space="preserve">While Imtac concurs with reducing dwell </w:t>
      </w:r>
      <w:r w:rsidR="009C783C">
        <w:rPr>
          <w:rFonts w:ascii="Arial" w:hAnsi="Arial" w:cs="Arial"/>
          <w:sz w:val="28"/>
          <w:szCs w:val="28"/>
        </w:rPr>
        <w:t>times, it</w:t>
      </w:r>
      <w:r>
        <w:rPr>
          <w:rFonts w:ascii="Arial" w:hAnsi="Arial" w:cs="Arial"/>
          <w:sz w:val="28"/>
          <w:szCs w:val="28"/>
        </w:rPr>
        <w:t xml:space="preserve"> has major reservations as d</w:t>
      </w:r>
      <w:r w:rsidR="004871B4">
        <w:rPr>
          <w:rFonts w:ascii="Arial" w:hAnsi="Arial" w:cs="Arial"/>
          <w:sz w:val="28"/>
          <w:szCs w:val="28"/>
        </w:rPr>
        <w:t>ual door provision has significant implications for the accessibility and usability of vehicles both from a positive and negative perspective</w:t>
      </w:r>
      <w:r w:rsidR="007B4C80">
        <w:rPr>
          <w:rFonts w:ascii="Arial" w:hAnsi="Arial" w:cs="Arial"/>
          <w:sz w:val="28"/>
          <w:szCs w:val="28"/>
        </w:rPr>
        <w:t>. On the positive side it potentially could make access easier for wheelchair users if ramped access is provided at the secondary door with direct access into the priority wheelchair user space.</w:t>
      </w:r>
      <w:r w:rsidR="00F87D81">
        <w:rPr>
          <w:rFonts w:ascii="Arial" w:hAnsi="Arial" w:cs="Arial"/>
          <w:sz w:val="28"/>
          <w:szCs w:val="28"/>
        </w:rPr>
        <w:t xml:space="preserve"> It also potentially makes it easier to provide two wheelchair user spaces on vehicles.</w:t>
      </w:r>
      <w:r w:rsidR="007B4C80">
        <w:rPr>
          <w:rFonts w:ascii="Arial" w:hAnsi="Arial" w:cs="Arial"/>
          <w:sz w:val="28"/>
          <w:szCs w:val="28"/>
        </w:rPr>
        <w:t xml:space="preserve">  On the negative side the secondary doors significantly reduce the space in the low-floor area of the vehicle, reducing flexibility in design. Some of the implications include:</w:t>
      </w:r>
    </w:p>
    <w:p w14:paraId="4349C3F4" w14:textId="77777777" w:rsidR="007B4C80" w:rsidRDefault="007B4C80">
      <w:pPr>
        <w:rPr>
          <w:rFonts w:ascii="Arial" w:hAnsi="Arial" w:cs="Arial"/>
          <w:sz w:val="28"/>
          <w:szCs w:val="28"/>
        </w:rPr>
      </w:pPr>
    </w:p>
    <w:p w14:paraId="7FEF41B3" w14:textId="77777777" w:rsidR="007B4C80" w:rsidRPr="007B4C80" w:rsidRDefault="007B4C80" w:rsidP="007B4C80">
      <w:pPr>
        <w:pStyle w:val="ListParagraph"/>
        <w:numPr>
          <w:ilvl w:val="0"/>
          <w:numId w:val="1"/>
        </w:numPr>
        <w:rPr>
          <w:rFonts w:ascii="Arial" w:hAnsi="Arial" w:cs="Arial"/>
          <w:sz w:val="28"/>
          <w:szCs w:val="28"/>
        </w:rPr>
      </w:pPr>
      <w:r w:rsidRPr="007B4C80">
        <w:rPr>
          <w:rFonts w:ascii="Arial" w:hAnsi="Arial" w:cs="Arial"/>
          <w:sz w:val="28"/>
          <w:szCs w:val="28"/>
        </w:rPr>
        <w:t xml:space="preserve">Reduced </w:t>
      </w:r>
      <w:r>
        <w:rPr>
          <w:rFonts w:ascii="Arial" w:hAnsi="Arial" w:cs="Arial"/>
          <w:sz w:val="28"/>
          <w:szCs w:val="28"/>
        </w:rPr>
        <w:t xml:space="preserve">numbers of </w:t>
      </w:r>
      <w:r w:rsidRPr="007B4C80">
        <w:rPr>
          <w:rFonts w:ascii="Arial" w:hAnsi="Arial" w:cs="Arial"/>
          <w:sz w:val="28"/>
          <w:szCs w:val="28"/>
        </w:rPr>
        <w:t>low-level seating generally</w:t>
      </w:r>
    </w:p>
    <w:p w14:paraId="18B87CF8" w14:textId="77777777" w:rsidR="007B4C80" w:rsidRPr="007B4C80" w:rsidRDefault="007B4C80" w:rsidP="007B4C80">
      <w:pPr>
        <w:pStyle w:val="ListParagraph"/>
        <w:numPr>
          <w:ilvl w:val="0"/>
          <w:numId w:val="1"/>
        </w:numPr>
        <w:rPr>
          <w:rFonts w:ascii="Arial" w:hAnsi="Arial" w:cs="Arial"/>
          <w:sz w:val="28"/>
          <w:szCs w:val="28"/>
        </w:rPr>
      </w:pPr>
      <w:r w:rsidRPr="007B4C80">
        <w:rPr>
          <w:rFonts w:ascii="Arial" w:hAnsi="Arial" w:cs="Arial"/>
          <w:sz w:val="28"/>
          <w:szCs w:val="28"/>
        </w:rPr>
        <w:t>Restrictions on the ability to provide flexible space suitable for people travelling with buggies and prams, assistance dog users and people with bulky mobility equipment</w:t>
      </w:r>
    </w:p>
    <w:p w14:paraId="789F0331" w14:textId="77777777" w:rsidR="007B4C80" w:rsidRDefault="007B4C80" w:rsidP="007B4C80">
      <w:pPr>
        <w:pStyle w:val="ListParagraph"/>
        <w:numPr>
          <w:ilvl w:val="0"/>
          <w:numId w:val="1"/>
        </w:numPr>
        <w:rPr>
          <w:rFonts w:ascii="Arial" w:hAnsi="Arial" w:cs="Arial"/>
          <w:sz w:val="28"/>
          <w:szCs w:val="28"/>
        </w:rPr>
      </w:pPr>
      <w:r w:rsidRPr="007B4C80">
        <w:rPr>
          <w:rFonts w:ascii="Arial" w:hAnsi="Arial" w:cs="Arial"/>
          <w:sz w:val="28"/>
          <w:szCs w:val="28"/>
        </w:rPr>
        <w:t>Increasing the distance ambulant disabled people must travel up the bus to access priority seating</w:t>
      </w:r>
    </w:p>
    <w:p w14:paraId="074A6B7C" w14:textId="77777777" w:rsidR="007B4C80" w:rsidRDefault="007B4C80" w:rsidP="007B4C80">
      <w:pPr>
        <w:rPr>
          <w:rFonts w:ascii="Arial" w:hAnsi="Arial" w:cs="Arial"/>
          <w:sz w:val="28"/>
          <w:szCs w:val="28"/>
        </w:rPr>
      </w:pPr>
    </w:p>
    <w:p w14:paraId="4D0A311D" w14:textId="77777777" w:rsidR="00A93BCA" w:rsidRDefault="007B4C80" w:rsidP="007B4C80">
      <w:pPr>
        <w:rPr>
          <w:rFonts w:ascii="Arial" w:hAnsi="Arial" w:cs="Arial"/>
          <w:sz w:val="28"/>
          <w:szCs w:val="28"/>
        </w:rPr>
      </w:pPr>
      <w:r>
        <w:rPr>
          <w:rFonts w:ascii="Arial" w:hAnsi="Arial" w:cs="Arial"/>
          <w:sz w:val="28"/>
          <w:szCs w:val="28"/>
        </w:rPr>
        <w:t>The Committee also questions the rationale for moving to a dual door provision</w:t>
      </w:r>
      <w:r w:rsidR="007108A4">
        <w:rPr>
          <w:rFonts w:ascii="Arial" w:hAnsi="Arial" w:cs="Arial"/>
          <w:sz w:val="28"/>
          <w:szCs w:val="28"/>
        </w:rPr>
        <w:t xml:space="preserve"> without a commitment to providing appropriate infrastructure at stops</w:t>
      </w:r>
      <w:r>
        <w:rPr>
          <w:rFonts w:ascii="Arial" w:hAnsi="Arial" w:cs="Arial"/>
          <w:sz w:val="28"/>
          <w:szCs w:val="28"/>
        </w:rPr>
        <w:t xml:space="preserve">. The Glider service has been successful because the bus stop infrastructure has been designed to compliment the vehicle design. Current wider bus stop infrastructure is </w:t>
      </w:r>
      <w:r w:rsidR="00A93BCA">
        <w:rPr>
          <w:rFonts w:ascii="Arial" w:hAnsi="Arial" w:cs="Arial"/>
          <w:sz w:val="28"/>
          <w:szCs w:val="28"/>
        </w:rPr>
        <w:t>base</w:t>
      </w:r>
      <w:r>
        <w:rPr>
          <w:rFonts w:ascii="Arial" w:hAnsi="Arial" w:cs="Arial"/>
          <w:sz w:val="28"/>
          <w:szCs w:val="28"/>
        </w:rPr>
        <w:t>d around design standards</w:t>
      </w:r>
      <w:r>
        <w:rPr>
          <w:rStyle w:val="FootnoteReference"/>
          <w:rFonts w:ascii="Arial" w:hAnsi="Arial" w:cs="Arial"/>
          <w:sz w:val="28"/>
          <w:szCs w:val="28"/>
        </w:rPr>
        <w:footnoteReference w:id="2"/>
      </w:r>
      <w:r>
        <w:rPr>
          <w:rFonts w:ascii="Arial" w:hAnsi="Arial" w:cs="Arial"/>
          <w:sz w:val="28"/>
          <w:szCs w:val="28"/>
        </w:rPr>
        <w:t xml:space="preserve"> </w:t>
      </w:r>
      <w:r w:rsidR="00A93BCA">
        <w:rPr>
          <w:rFonts w:ascii="Arial" w:hAnsi="Arial" w:cs="Arial"/>
          <w:sz w:val="28"/>
          <w:szCs w:val="28"/>
        </w:rPr>
        <w:t xml:space="preserve">predicated </w:t>
      </w:r>
      <w:r>
        <w:rPr>
          <w:rFonts w:ascii="Arial" w:hAnsi="Arial" w:cs="Arial"/>
          <w:sz w:val="28"/>
          <w:szCs w:val="28"/>
        </w:rPr>
        <w:t>on the operation of single entrance / exit vehicles</w:t>
      </w:r>
      <w:r w:rsidR="00A93BCA">
        <w:rPr>
          <w:rFonts w:ascii="Arial" w:hAnsi="Arial" w:cs="Arial"/>
          <w:sz w:val="28"/>
          <w:szCs w:val="28"/>
        </w:rPr>
        <w:t xml:space="preserve">. In many locations across Belfast and Derry the secondary door will not be able to access a kerb, essential for ease of access / egress for disabled people, older people and others. </w:t>
      </w:r>
    </w:p>
    <w:p w14:paraId="1B0B00CD" w14:textId="77777777" w:rsidR="00A93BCA" w:rsidRDefault="00A93BCA" w:rsidP="007B4C80">
      <w:pPr>
        <w:rPr>
          <w:rFonts w:ascii="Arial" w:hAnsi="Arial" w:cs="Arial"/>
          <w:sz w:val="28"/>
          <w:szCs w:val="28"/>
        </w:rPr>
      </w:pPr>
    </w:p>
    <w:p w14:paraId="102A7518" w14:textId="463DB5C2" w:rsidR="00A93BCA" w:rsidRDefault="00A93BCA" w:rsidP="007B4C80">
      <w:pPr>
        <w:rPr>
          <w:rFonts w:ascii="Arial" w:hAnsi="Arial" w:cs="Arial"/>
          <w:sz w:val="28"/>
          <w:szCs w:val="28"/>
        </w:rPr>
      </w:pPr>
      <w:r>
        <w:rPr>
          <w:rFonts w:ascii="Arial" w:hAnsi="Arial" w:cs="Arial"/>
          <w:sz w:val="28"/>
          <w:szCs w:val="28"/>
        </w:rPr>
        <w:t xml:space="preserve">The lack of suitable bus stop infrastructure has significant implications for the accessibility and usability of the buses </w:t>
      </w:r>
      <w:r w:rsidR="000332C1">
        <w:rPr>
          <w:rFonts w:ascii="Arial" w:hAnsi="Arial" w:cs="Arial"/>
          <w:sz w:val="28"/>
          <w:szCs w:val="28"/>
        </w:rPr>
        <w:t xml:space="preserve">with </w:t>
      </w:r>
      <w:r>
        <w:rPr>
          <w:rFonts w:ascii="Arial" w:hAnsi="Arial" w:cs="Arial"/>
          <w:sz w:val="28"/>
          <w:szCs w:val="28"/>
        </w:rPr>
        <w:t xml:space="preserve">passengers </w:t>
      </w:r>
      <w:r w:rsidR="000332C1">
        <w:rPr>
          <w:rFonts w:ascii="Arial" w:hAnsi="Arial" w:cs="Arial"/>
          <w:sz w:val="28"/>
          <w:szCs w:val="28"/>
        </w:rPr>
        <w:t xml:space="preserve">being </w:t>
      </w:r>
      <w:r>
        <w:rPr>
          <w:rFonts w:ascii="Arial" w:hAnsi="Arial" w:cs="Arial"/>
          <w:sz w:val="28"/>
          <w:szCs w:val="28"/>
        </w:rPr>
        <w:t>required to alight onto the carriageway, with a significant step down and potentially no step free access onto the footway. This potentia</w:t>
      </w:r>
      <w:r w:rsidR="00E727B2">
        <w:rPr>
          <w:rFonts w:ascii="Arial" w:hAnsi="Arial" w:cs="Arial"/>
          <w:sz w:val="28"/>
          <w:szCs w:val="28"/>
        </w:rPr>
        <w:t>l</w:t>
      </w:r>
      <w:r>
        <w:rPr>
          <w:rFonts w:ascii="Arial" w:hAnsi="Arial" w:cs="Arial"/>
          <w:sz w:val="28"/>
          <w:szCs w:val="28"/>
        </w:rPr>
        <w:t>l</w:t>
      </w:r>
      <w:r w:rsidR="00E727B2">
        <w:rPr>
          <w:rFonts w:ascii="Arial" w:hAnsi="Arial" w:cs="Arial"/>
          <w:sz w:val="28"/>
          <w:szCs w:val="28"/>
        </w:rPr>
        <w:t>y</w:t>
      </w:r>
      <w:r>
        <w:rPr>
          <w:rFonts w:ascii="Arial" w:hAnsi="Arial" w:cs="Arial"/>
          <w:sz w:val="28"/>
          <w:szCs w:val="28"/>
        </w:rPr>
        <w:t xml:space="preserve"> has health and safety implications for passengers and for older people and disabled people in particular</w:t>
      </w:r>
      <w:r w:rsidR="00F87D81">
        <w:rPr>
          <w:rFonts w:ascii="Arial" w:hAnsi="Arial" w:cs="Arial"/>
          <w:sz w:val="28"/>
          <w:szCs w:val="28"/>
        </w:rPr>
        <w:t>, increasing risks of falls and passengers having to travel a distance on busy carriageways</w:t>
      </w:r>
      <w:r w:rsidR="000332C1">
        <w:rPr>
          <w:rFonts w:ascii="Arial" w:hAnsi="Arial" w:cs="Arial"/>
          <w:sz w:val="28"/>
          <w:szCs w:val="28"/>
        </w:rPr>
        <w:t xml:space="preserve"> to access the footway</w:t>
      </w:r>
      <w:r>
        <w:rPr>
          <w:rFonts w:ascii="Arial" w:hAnsi="Arial" w:cs="Arial"/>
          <w:sz w:val="28"/>
          <w:szCs w:val="28"/>
        </w:rPr>
        <w:t>. In reality many older and disabled passengers will</w:t>
      </w:r>
      <w:r w:rsidR="00F87D81">
        <w:rPr>
          <w:rFonts w:ascii="Arial" w:hAnsi="Arial" w:cs="Arial"/>
          <w:sz w:val="28"/>
          <w:szCs w:val="28"/>
        </w:rPr>
        <w:t xml:space="preserve"> make the decision</w:t>
      </w:r>
      <w:r>
        <w:rPr>
          <w:rFonts w:ascii="Arial" w:hAnsi="Arial" w:cs="Arial"/>
          <w:sz w:val="28"/>
          <w:szCs w:val="28"/>
        </w:rPr>
        <w:t xml:space="preserve"> not use the secondary doors, preferring the safety of the front door with access to a footway. This has the potential to negate </w:t>
      </w:r>
      <w:r w:rsidR="00F87D81">
        <w:rPr>
          <w:rFonts w:ascii="Arial" w:hAnsi="Arial" w:cs="Arial"/>
          <w:sz w:val="28"/>
          <w:szCs w:val="28"/>
        </w:rPr>
        <w:t>any reductions in dwell times at bus stops.</w:t>
      </w:r>
    </w:p>
    <w:p w14:paraId="47DACB2C" w14:textId="77777777" w:rsidR="00F87D81" w:rsidRDefault="00F87D81" w:rsidP="007B4C80">
      <w:pPr>
        <w:rPr>
          <w:rFonts w:ascii="Arial" w:hAnsi="Arial" w:cs="Arial"/>
          <w:sz w:val="28"/>
          <w:szCs w:val="28"/>
        </w:rPr>
      </w:pPr>
    </w:p>
    <w:p w14:paraId="2FB12C54" w14:textId="77777777" w:rsidR="00F87D81" w:rsidRDefault="00F87D81" w:rsidP="007B4C80">
      <w:pPr>
        <w:rPr>
          <w:rFonts w:ascii="Arial" w:hAnsi="Arial" w:cs="Arial"/>
          <w:sz w:val="28"/>
          <w:szCs w:val="28"/>
        </w:rPr>
      </w:pPr>
      <w:r>
        <w:rPr>
          <w:rFonts w:ascii="Arial" w:hAnsi="Arial" w:cs="Arial"/>
          <w:sz w:val="28"/>
          <w:szCs w:val="28"/>
        </w:rPr>
        <w:t>Imtac is concerned that a decision has been taken to change the design of buses without fully considering the accessibility and usability of current bus stop infrastructure. The Committee is also concerned that health and safety issues implications for passengers appear not have been fully considered. It recommends that the decision be reviewed to consider these issues and to allow an equality impact screening process to take place. On the basis that it may be desirable to move to dual door provision Imtac also recommends an urgent review and update</w:t>
      </w:r>
      <w:r w:rsidR="00437199">
        <w:rPr>
          <w:rFonts w:ascii="Arial" w:hAnsi="Arial" w:cs="Arial"/>
          <w:sz w:val="28"/>
          <w:szCs w:val="28"/>
        </w:rPr>
        <w:t xml:space="preserve"> of current bus stop design standards, reflecting standards developed in London</w:t>
      </w:r>
      <w:r w:rsidR="00437199">
        <w:rPr>
          <w:rStyle w:val="FootnoteReference"/>
          <w:rFonts w:ascii="Arial" w:hAnsi="Arial" w:cs="Arial"/>
          <w:sz w:val="28"/>
          <w:szCs w:val="28"/>
        </w:rPr>
        <w:footnoteReference w:id="3"/>
      </w:r>
      <w:r w:rsidR="00437199">
        <w:rPr>
          <w:rFonts w:ascii="Arial" w:hAnsi="Arial" w:cs="Arial"/>
          <w:sz w:val="28"/>
          <w:szCs w:val="28"/>
        </w:rPr>
        <w:t xml:space="preserve"> and elsewhere where dual door provision is commonplace.</w:t>
      </w:r>
    </w:p>
    <w:p w14:paraId="3AFE6816" w14:textId="77777777" w:rsidR="00437199" w:rsidRDefault="00437199" w:rsidP="007B4C80">
      <w:pPr>
        <w:rPr>
          <w:rFonts w:ascii="Arial" w:hAnsi="Arial" w:cs="Arial"/>
          <w:sz w:val="28"/>
          <w:szCs w:val="28"/>
        </w:rPr>
      </w:pPr>
    </w:p>
    <w:p w14:paraId="4CEBD81A" w14:textId="3B8C612B" w:rsidR="00437199" w:rsidRPr="008C50F5" w:rsidRDefault="00437199" w:rsidP="007B4C80">
      <w:pPr>
        <w:rPr>
          <w:rFonts w:ascii="Arial" w:hAnsi="Arial" w:cs="Arial"/>
          <w:b/>
          <w:bCs/>
          <w:sz w:val="28"/>
          <w:szCs w:val="28"/>
        </w:rPr>
      </w:pPr>
      <w:r w:rsidRPr="008C50F5">
        <w:rPr>
          <w:rFonts w:ascii="Arial" w:hAnsi="Arial" w:cs="Arial"/>
          <w:b/>
          <w:bCs/>
          <w:sz w:val="28"/>
          <w:szCs w:val="28"/>
        </w:rPr>
        <w:t>Comments on the Battery Electric Vehicle</w:t>
      </w:r>
    </w:p>
    <w:p w14:paraId="1378797A" w14:textId="77777777" w:rsidR="000332C1" w:rsidRDefault="000332C1" w:rsidP="007B4C80">
      <w:pPr>
        <w:rPr>
          <w:rFonts w:ascii="Arial" w:hAnsi="Arial" w:cs="Arial"/>
          <w:sz w:val="28"/>
          <w:szCs w:val="28"/>
          <w:u w:val="single"/>
        </w:rPr>
      </w:pPr>
    </w:p>
    <w:p w14:paraId="0ECE3B8F" w14:textId="77777777" w:rsidR="00437199" w:rsidRDefault="00437199" w:rsidP="007B4C80">
      <w:pPr>
        <w:rPr>
          <w:rFonts w:ascii="Arial" w:hAnsi="Arial" w:cs="Arial"/>
          <w:sz w:val="28"/>
          <w:szCs w:val="28"/>
        </w:rPr>
      </w:pPr>
      <w:r>
        <w:rPr>
          <w:rFonts w:ascii="Arial" w:hAnsi="Arial" w:cs="Arial"/>
          <w:sz w:val="28"/>
          <w:szCs w:val="28"/>
        </w:rPr>
        <w:t>At the meeting with Translink members were shown a range of design layouts, some of which include vehicles without the provision a flexible area suitable</w:t>
      </w:r>
      <w:r w:rsidR="001C22C0">
        <w:rPr>
          <w:rFonts w:ascii="Arial" w:hAnsi="Arial" w:cs="Arial"/>
          <w:sz w:val="28"/>
          <w:szCs w:val="28"/>
        </w:rPr>
        <w:t xml:space="preserve"> people travelling with buggies and plans. Imtac views this type of provision as essential in reducing conflict between passengers competing for the legal</w:t>
      </w:r>
      <w:r w:rsidR="007108A4">
        <w:rPr>
          <w:rFonts w:ascii="Arial" w:hAnsi="Arial" w:cs="Arial"/>
          <w:sz w:val="28"/>
          <w:szCs w:val="28"/>
        </w:rPr>
        <w:t>ly required</w:t>
      </w:r>
      <w:r w:rsidR="001C22C0">
        <w:rPr>
          <w:rFonts w:ascii="Arial" w:hAnsi="Arial" w:cs="Arial"/>
          <w:sz w:val="28"/>
          <w:szCs w:val="28"/>
        </w:rPr>
        <w:t xml:space="preserve"> priority wheelchair user space. In line with its published guidance the Committee recommends in the strongest terms that vehicle designs that </w:t>
      </w:r>
      <w:r w:rsidR="001C22C0" w:rsidRPr="009C783C">
        <w:rPr>
          <w:rFonts w:ascii="Arial" w:hAnsi="Arial" w:cs="Arial"/>
          <w:sz w:val="28"/>
          <w:szCs w:val="28"/>
          <w:u w:val="single"/>
        </w:rPr>
        <w:t xml:space="preserve">do not </w:t>
      </w:r>
      <w:r w:rsidR="001C22C0">
        <w:rPr>
          <w:rFonts w:ascii="Arial" w:hAnsi="Arial" w:cs="Arial"/>
          <w:sz w:val="28"/>
          <w:szCs w:val="28"/>
        </w:rPr>
        <w:t>have flexible space are not used.</w:t>
      </w:r>
    </w:p>
    <w:p w14:paraId="18CF95D3" w14:textId="77777777" w:rsidR="001C22C0" w:rsidRDefault="001C22C0" w:rsidP="007B4C80">
      <w:pPr>
        <w:rPr>
          <w:rFonts w:ascii="Arial" w:hAnsi="Arial" w:cs="Arial"/>
          <w:sz w:val="28"/>
          <w:szCs w:val="28"/>
        </w:rPr>
      </w:pPr>
    </w:p>
    <w:p w14:paraId="6EB36DF5" w14:textId="77777777" w:rsidR="001157F4" w:rsidRDefault="001C22C0" w:rsidP="007B4C80">
      <w:pPr>
        <w:rPr>
          <w:rFonts w:ascii="Arial" w:hAnsi="Arial" w:cs="Arial"/>
          <w:sz w:val="28"/>
          <w:szCs w:val="28"/>
        </w:rPr>
      </w:pPr>
      <w:r>
        <w:rPr>
          <w:rFonts w:ascii="Arial" w:hAnsi="Arial" w:cs="Arial"/>
          <w:sz w:val="28"/>
          <w:szCs w:val="28"/>
        </w:rPr>
        <w:t xml:space="preserve">Based on discussions the Committee recommends </w:t>
      </w:r>
      <w:r w:rsidR="001157F4">
        <w:rPr>
          <w:rFonts w:ascii="Arial" w:hAnsi="Arial" w:cs="Arial"/>
          <w:sz w:val="28"/>
          <w:szCs w:val="28"/>
        </w:rPr>
        <w:t xml:space="preserve">a variation on </w:t>
      </w:r>
      <w:r>
        <w:rPr>
          <w:rFonts w:ascii="Arial" w:hAnsi="Arial" w:cs="Arial"/>
          <w:sz w:val="28"/>
          <w:szCs w:val="28"/>
        </w:rPr>
        <w:t>vehicle design CU</w:t>
      </w:r>
      <w:r w:rsidR="001157F4">
        <w:rPr>
          <w:rFonts w:ascii="Arial" w:hAnsi="Arial" w:cs="Arial"/>
          <w:sz w:val="28"/>
          <w:szCs w:val="28"/>
        </w:rPr>
        <w:t>S–</w:t>
      </w:r>
      <w:r>
        <w:rPr>
          <w:rFonts w:ascii="Arial" w:hAnsi="Arial" w:cs="Arial"/>
          <w:sz w:val="28"/>
          <w:szCs w:val="28"/>
        </w:rPr>
        <w:t>03983</w:t>
      </w:r>
      <w:r w:rsidR="001157F4">
        <w:rPr>
          <w:rFonts w:ascii="Arial" w:hAnsi="Arial" w:cs="Arial"/>
          <w:sz w:val="28"/>
          <w:szCs w:val="28"/>
        </w:rPr>
        <w:t>-1 as the most appropriate design. The following are recommended changes to the proposed vehicle design</w:t>
      </w:r>
      <w:r w:rsidR="00C2438C">
        <w:rPr>
          <w:rFonts w:ascii="Arial" w:hAnsi="Arial" w:cs="Arial"/>
          <w:sz w:val="28"/>
          <w:szCs w:val="28"/>
        </w:rPr>
        <w:t>:</w:t>
      </w:r>
    </w:p>
    <w:p w14:paraId="748E3395" w14:textId="77777777" w:rsidR="001157F4" w:rsidRDefault="001157F4" w:rsidP="007B4C80">
      <w:pPr>
        <w:rPr>
          <w:rFonts w:ascii="Arial" w:hAnsi="Arial" w:cs="Arial"/>
          <w:sz w:val="28"/>
          <w:szCs w:val="28"/>
        </w:rPr>
      </w:pPr>
    </w:p>
    <w:p w14:paraId="0E5DC468" w14:textId="77777777" w:rsidR="001157F4" w:rsidRPr="003660E9" w:rsidRDefault="001157F4" w:rsidP="003660E9">
      <w:pPr>
        <w:pStyle w:val="ListParagraph"/>
        <w:numPr>
          <w:ilvl w:val="0"/>
          <w:numId w:val="2"/>
        </w:numPr>
        <w:rPr>
          <w:rFonts w:ascii="Arial" w:hAnsi="Arial" w:cs="Arial"/>
          <w:sz w:val="28"/>
          <w:szCs w:val="28"/>
        </w:rPr>
      </w:pPr>
      <w:r w:rsidRPr="003660E9">
        <w:rPr>
          <w:rFonts w:ascii="Arial" w:hAnsi="Arial" w:cs="Arial"/>
          <w:sz w:val="28"/>
          <w:szCs w:val="28"/>
        </w:rPr>
        <w:t xml:space="preserve">To future proof vehicles and to enable easy access for wheelchair users where infrastructure allows the Committee recommends that an automated boarding ramp be provided </w:t>
      </w:r>
      <w:r w:rsidR="00C2438C" w:rsidRPr="003660E9">
        <w:rPr>
          <w:rFonts w:ascii="Arial" w:hAnsi="Arial" w:cs="Arial"/>
          <w:sz w:val="28"/>
          <w:szCs w:val="28"/>
        </w:rPr>
        <w:t xml:space="preserve">at the secondary doors in addition to </w:t>
      </w:r>
      <w:r w:rsidR="003660E9" w:rsidRPr="003660E9">
        <w:rPr>
          <w:rFonts w:ascii="Arial" w:hAnsi="Arial" w:cs="Arial"/>
          <w:sz w:val="28"/>
          <w:szCs w:val="28"/>
        </w:rPr>
        <w:t xml:space="preserve">retaining </w:t>
      </w:r>
      <w:r w:rsidR="00C2438C" w:rsidRPr="003660E9">
        <w:rPr>
          <w:rFonts w:ascii="Arial" w:hAnsi="Arial" w:cs="Arial"/>
          <w:sz w:val="28"/>
          <w:szCs w:val="28"/>
        </w:rPr>
        <w:t>the provision of a manual ramp at the front door</w:t>
      </w:r>
    </w:p>
    <w:p w14:paraId="3E448533" w14:textId="77777777" w:rsidR="003660E9" w:rsidRDefault="003660E9" w:rsidP="007B4C80">
      <w:pPr>
        <w:rPr>
          <w:rFonts w:ascii="Arial" w:hAnsi="Arial" w:cs="Arial"/>
          <w:sz w:val="28"/>
          <w:szCs w:val="28"/>
        </w:rPr>
      </w:pPr>
    </w:p>
    <w:p w14:paraId="65B6D0F0" w14:textId="77777777" w:rsidR="003660E9" w:rsidRPr="003660E9" w:rsidRDefault="003660E9" w:rsidP="003660E9">
      <w:pPr>
        <w:pStyle w:val="ListParagraph"/>
        <w:numPr>
          <w:ilvl w:val="0"/>
          <w:numId w:val="2"/>
        </w:numPr>
        <w:rPr>
          <w:rFonts w:ascii="Arial" w:hAnsi="Arial" w:cs="Arial"/>
          <w:sz w:val="28"/>
          <w:szCs w:val="28"/>
        </w:rPr>
      </w:pPr>
      <w:r w:rsidRPr="003660E9">
        <w:rPr>
          <w:rFonts w:ascii="Arial" w:hAnsi="Arial" w:cs="Arial"/>
          <w:sz w:val="28"/>
          <w:szCs w:val="28"/>
        </w:rPr>
        <w:t>In line with Imtac guidance, the Committee recommends that the proposed flexible space on the design be reworked to be a space that could also be used by a second wheelchair user</w:t>
      </w:r>
      <w:r w:rsidR="00E727B2">
        <w:rPr>
          <w:rFonts w:ascii="Arial" w:hAnsi="Arial" w:cs="Arial"/>
          <w:sz w:val="28"/>
          <w:szCs w:val="28"/>
        </w:rPr>
        <w:t xml:space="preserve"> similar to layouts used by other operators including Reading Buses</w:t>
      </w:r>
    </w:p>
    <w:p w14:paraId="317A781B" w14:textId="77777777" w:rsidR="003660E9" w:rsidRDefault="003660E9" w:rsidP="007B4C80">
      <w:pPr>
        <w:rPr>
          <w:rFonts w:ascii="Arial" w:hAnsi="Arial" w:cs="Arial"/>
          <w:sz w:val="28"/>
          <w:szCs w:val="28"/>
        </w:rPr>
      </w:pPr>
    </w:p>
    <w:p w14:paraId="425E7362" w14:textId="77777777" w:rsidR="003660E9" w:rsidRPr="003660E9" w:rsidRDefault="003660E9" w:rsidP="003660E9">
      <w:pPr>
        <w:pStyle w:val="ListParagraph"/>
        <w:numPr>
          <w:ilvl w:val="0"/>
          <w:numId w:val="2"/>
        </w:numPr>
        <w:rPr>
          <w:rFonts w:ascii="Arial" w:hAnsi="Arial" w:cs="Arial"/>
          <w:sz w:val="28"/>
          <w:szCs w:val="28"/>
        </w:rPr>
      </w:pPr>
      <w:r w:rsidRPr="003660E9">
        <w:rPr>
          <w:rFonts w:ascii="Arial" w:hAnsi="Arial" w:cs="Arial"/>
          <w:sz w:val="28"/>
          <w:szCs w:val="28"/>
        </w:rPr>
        <w:t>In line with PSVAR requirements the final design of the vehicle must include four forward priority seats for the use of disabled people</w:t>
      </w:r>
    </w:p>
    <w:p w14:paraId="3C7D4CB2" w14:textId="77777777" w:rsidR="00C2438C" w:rsidRDefault="00C2438C" w:rsidP="007B4C80">
      <w:pPr>
        <w:rPr>
          <w:rFonts w:ascii="Arial" w:hAnsi="Arial" w:cs="Arial"/>
          <w:sz w:val="28"/>
          <w:szCs w:val="28"/>
        </w:rPr>
      </w:pPr>
    </w:p>
    <w:p w14:paraId="2DF41731" w14:textId="0A8A6265" w:rsidR="00C2438C" w:rsidRPr="00437199" w:rsidRDefault="003660E9" w:rsidP="007B4C80">
      <w:pPr>
        <w:rPr>
          <w:rFonts w:ascii="Arial" w:hAnsi="Arial" w:cs="Arial"/>
          <w:sz w:val="28"/>
          <w:szCs w:val="28"/>
        </w:rPr>
      </w:pPr>
      <w:r>
        <w:rPr>
          <w:rFonts w:ascii="Arial" w:hAnsi="Arial" w:cs="Arial"/>
          <w:sz w:val="28"/>
          <w:szCs w:val="28"/>
        </w:rPr>
        <w:lastRenderedPageBreak/>
        <w:t>The main drawback of the vehicle design is the distance ambulant disabled people must travel to access</w:t>
      </w:r>
      <w:r w:rsidR="00940A9A">
        <w:rPr>
          <w:rFonts w:ascii="Arial" w:hAnsi="Arial" w:cs="Arial"/>
          <w:sz w:val="28"/>
          <w:szCs w:val="28"/>
        </w:rPr>
        <w:t xml:space="preserve"> priority seating. </w:t>
      </w:r>
      <w:r w:rsidR="000332C1">
        <w:rPr>
          <w:rFonts w:ascii="Arial" w:hAnsi="Arial" w:cs="Arial"/>
          <w:sz w:val="28"/>
          <w:szCs w:val="28"/>
        </w:rPr>
        <w:t>Potentially u</w:t>
      </w:r>
      <w:r w:rsidR="00940A9A">
        <w:rPr>
          <w:rFonts w:ascii="Arial" w:hAnsi="Arial" w:cs="Arial"/>
          <w:sz w:val="28"/>
          <w:szCs w:val="28"/>
        </w:rPr>
        <w:t>se of the secondary doors</w:t>
      </w:r>
      <w:r w:rsidR="007108A4">
        <w:rPr>
          <w:rFonts w:ascii="Arial" w:hAnsi="Arial" w:cs="Arial"/>
          <w:sz w:val="28"/>
          <w:szCs w:val="28"/>
        </w:rPr>
        <w:t xml:space="preserve"> </w:t>
      </w:r>
      <w:r w:rsidR="000332C1">
        <w:rPr>
          <w:rFonts w:ascii="Arial" w:hAnsi="Arial" w:cs="Arial"/>
          <w:sz w:val="28"/>
          <w:szCs w:val="28"/>
        </w:rPr>
        <w:t>to enable ambulant disabled passengers to board</w:t>
      </w:r>
      <w:r w:rsidR="00940A9A">
        <w:rPr>
          <w:rFonts w:ascii="Arial" w:hAnsi="Arial" w:cs="Arial"/>
          <w:sz w:val="28"/>
          <w:szCs w:val="28"/>
        </w:rPr>
        <w:t xml:space="preserve">, if possible, would significantly reduce the impact of walking distances. </w:t>
      </w:r>
      <w:r w:rsidR="000332C1">
        <w:rPr>
          <w:rFonts w:ascii="Arial" w:hAnsi="Arial" w:cs="Arial"/>
          <w:sz w:val="28"/>
          <w:szCs w:val="28"/>
        </w:rPr>
        <w:t>If in reality this is not practical</w:t>
      </w:r>
      <w:r w:rsidR="00940A9A">
        <w:rPr>
          <w:rFonts w:ascii="Arial" w:hAnsi="Arial" w:cs="Arial"/>
          <w:sz w:val="28"/>
          <w:szCs w:val="28"/>
        </w:rPr>
        <w:t xml:space="preserve"> drivers must allow additional time for passengers to get seated before moving off.</w:t>
      </w:r>
    </w:p>
    <w:p w14:paraId="082A7411" w14:textId="77777777" w:rsidR="00437199" w:rsidRDefault="00437199" w:rsidP="007B4C80">
      <w:pPr>
        <w:rPr>
          <w:rFonts w:ascii="Arial" w:hAnsi="Arial" w:cs="Arial"/>
          <w:sz w:val="28"/>
          <w:szCs w:val="28"/>
          <w:u w:val="single"/>
        </w:rPr>
      </w:pPr>
    </w:p>
    <w:p w14:paraId="5FB36BAB" w14:textId="77777777" w:rsidR="00437199" w:rsidRPr="008C50F5" w:rsidRDefault="001F6059" w:rsidP="007B4C80">
      <w:pPr>
        <w:rPr>
          <w:rFonts w:ascii="Arial" w:hAnsi="Arial" w:cs="Arial"/>
          <w:b/>
          <w:bCs/>
          <w:sz w:val="28"/>
          <w:szCs w:val="28"/>
        </w:rPr>
      </w:pPr>
      <w:r w:rsidRPr="008C50F5">
        <w:rPr>
          <w:rFonts w:ascii="Arial" w:hAnsi="Arial" w:cs="Arial"/>
          <w:b/>
          <w:bCs/>
          <w:sz w:val="28"/>
          <w:szCs w:val="28"/>
        </w:rPr>
        <w:t>Comments on the Hydrogen Fuel Cell Electric Vehicle</w:t>
      </w:r>
    </w:p>
    <w:p w14:paraId="01366182" w14:textId="77777777" w:rsidR="001F6059" w:rsidRDefault="001F6059" w:rsidP="007B4C80">
      <w:pPr>
        <w:rPr>
          <w:rFonts w:ascii="Arial" w:hAnsi="Arial" w:cs="Arial"/>
          <w:sz w:val="28"/>
          <w:szCs w:val="28"/>
          <w:u w:val="single"/>
        </w:rPr>
      </w:pPr>
    </w:p>
    <w:p w14:paraId="1E47584C" w14:textId="77777777" w:rsidR="001F6059" w:rsidRDefault="001F6059" w:rsidP="007B4C80">
      <w:pPr>
        <w:rPr>
          <w:rFonts w:ascii="Arial" w:hAnsi="Arial" w:cs="Arial"/>
          <w:sz w:val="28"/>
          <w:szCs w:val="28"/>
        </w:rPr>
      </w:pPr>
      <w:r>
        <w:rPr>
          <w:rFonts w:ascii="Arial" w:hAnsi="Arial" w:cs="Arial"/>
          <w:sz w:val="28"/>
          <w:szCs w:val="28"/>
        </w:rPr>
        <w:t xml:space="preserve">Members were shown only one design for the Hydrogen Fuel Cell Electric Vehicle. This is largely due to restrictions on low-floor space on the vehicle due to hydrogen storage requirements. </w:t>
      </w:r>
    </w:p>
    <w:p w14:paraId="32132B8F" w14:textId="77777777" w:rsidR="006705E8" w:rsidRDefault="006705E8" w:rsidP="007B4C80">
      <w:pPr>
        <w:rPr>
          <w:rFonts w:ascii="Arial" w:hAnsi="Arial" w:cs="Arial"/>
          <w:sz w:val="28"/>
          <w:szCs w:val="28"/>
        </w:rPr>
      </w:pPr>
    </w:p>
    <w:p w14:paraId="247AEB06" w14:textId="6EAE9C6C" w:rsidR="00330A80" w:rsidRDefault="00330A80" w:rsidP="007B4C80">
      <w:pPr>
        <w:rPr>
          <w:rFonts w:ascii="Arial" w:hAnsi="Arial" w:cs="Arial"/>
          <w:sz w:val="28"/>
          <w:szCs w:val="28"/>
        </w:rPr>
      </w:pPr>
      <w:r>
        <w:rPr>
          <w:rFonts w:ascii="Arial" w:hAnsi="Arial" w:cs="Arial"/>
          <w:sz w:val="28"/>
          <w:szCs w:val="28"/>
        </w:rPr>
        <w:t xml:space="preserve">From the Committee’s perspective the Hydrogen vehicle demonstrates most clearly the limitations placed </w:t>
      </w:r>
      <w:r w:rsidR="007108A4">
        <w:rPr>
          <w:rFonts w:ascii="Arial" w:hAnsi="Arial" w:cs="Arial"/>
          <w:sz w:val="28"/>
          <w:szCs w:val="28"/>
        </w:rPr>
        <w:t xml:space="preserve">on </w:t>
      </w:r>
      <w:r>
        <w:rPr>
          <w:rFonts w:ascii="Arial" w:hAnsi="Arial" w:cs="Arial"/>
          <w:sz w:val="28"/>
          <w:szCs w:val="28"/>
        </w:rPr>
        <w:t xml:space="preserve">inclusive design with the inclusion of dual doors. The space simply does exist to allow the type of </w:t>
      </w:r>
      <w:r w:rsidR="000332C1">
        <w:rPr>
          <w:rFonts w:ascii="Arial" w:hAnsi="Arial" w:cs="Arial"/>
          <w:sz w:val="28"/>
          <w:szCs w:val="28"/>
        </w:rPr>
        <w:t xml:space="preserve">essential </w:t>
      </w:r>
      <w:r>
        <w:rPr>
          <w:rFonts w:ascii="Arial" w:hAnsi="Arial" w:cs="Arial"/>
          <w:sz w:val="28"/>
          <w:szCs w:val="28"/>
        </w:rPr>
        <w:t xml:space="preserve">provision recommended by </w:t>
      </w:r>
      <w:proofErr w:type="spellStart"/>
      <w:r>
        <w:rPr>
          <w:rFonts w:ascii="Arial" w:hAnsi="Arial" w:cs="Arial"/>
          <w:sz w:val="28"/>
          <w:szCs w:val="28"/>
        </w:rPr>
        <w:t>Imtac</w:t>
      </w:r>
      <w:proofErr w:type="spellEnd"/>
      <w:r>
        <w:rPr>
          <w:rFonts w:ascii="Arial" w:hAnsi="Arial" w:cs="Arial"/>
          <w:sz w:val="28"/>
          <w:szCs w:val="28"/>
        </w:rPr>
        <w:t>.</w:t>
      </w:r>
    </w:p>
    <w:p w14:paraId="1A970DC0" w14:textId="77777777" w:rsidR="00330A80" w:rsidRDefault="00330A80" w:rsidP="007B4C80">
      <w:pPr>
        <w:rPr>
          <w:rFonts w:ascii="Arial" w:hAnsi="Arial" w:cs="Arial"/>
          <w:sz w:val="28"/>
          <w:szCs w:val="28"/>
        </w:rPr>
      </w:pPr>
    </w:p>
    <w:p w14:paraId="2FF7424D" w14:textId="15B9C5DB" w:rsidR="00330A80" w:rsidRDefault="00330A80" w:rsidP="007B4C80">
      <w:pPr>
        <w:rPr>
          <w:rFonts w:ascii="Arial" w:hAnsi="Arial" w:cs="Arial"/>
          <w:sz w:val="28"/>
          <w:szCs w:val="28"/>
        </w:rPr>
      </w:pPr>
      <w:r>
        <w:rPr>
          <w:rFonts w:ascii="Arial" w:hAnsi="Arial" w:cs="Arial"/>
          <w:sz w:val="28"/>
          <w:szCs w:val="28"/>
        </w:rPr>
        <w:t>Due to space restrictions the Committee cannot</w:t>
      </w:r>
      <w:r w:rsidR="009C783C">
        <w:rPr>
          <w:rFonts w:ascii="Arial" w:hAnsi="Arial" w:cs="Arial"/>
          <w:sz w:val="28"/>
          <w:szCs w:val="28"/>
        </w:rPr>
        <w:t xml:space="preserve"> </w:t>
      </w:r>
      <w:proofErr w:type="spellStart"/>
      <w:r w:rsidR="009C783C">
        <w:rPr>
          <w:rFonts w:ascii="Arial" w:hAnsi="Arial" w:cs="Arial"/>
          <w:sz w:val="28"/>
          <w:szCs w:val="28"/>
        </w:rPr>
        <w:t>indentify</w:t>
      </w:r>
      <w:proofErr w:type="spellEnd"/>
      <w:r w:rsidR="009C783C">
        <w:rPr>
          <w:rFonts w:ascii="Arial" w:hAnsi="Arial" w:cs="Arial"/>
          <w:sz w:val="28"/>
          <w:szCs w:val="28"/>
        </w:rPr>
        <w:t xml:space="preserve"> any useful</w:t>
      </w:r>
      <w:r>
        <w:rPr>
          <w:rFonts w:ascii="Arial" w:hAnsi="Arial" w:cs="Arial"/>
          <w:sz w:val="28"/>
          <w:szCs w:val="28"/>
        </w:rPr>
        <w:t xml:space="preserve"> recommend</w:t>
      </w:r>
      <w:r w:rsidR="009C783C">
        <w:rPr>
          <w:rFonts w:ascii="Arial" w:hAnsi="Arial" w:cs="Arial"/>
          <w:sz w:val="28"/>
          <w:szCs w:val="28"/>
        </w:rPr>
        <w:t>ations for</w:t>
      </w:r>
      <w:r>
        <w:rPr>
          <w:rFonts w:ascii="Arial" w:hAnsi="Arial" w:cs="Arial"/>
          <w:sz w:val="28"/>
          <w:szCs w:val="28"/>
        </w:rPr>
        <w:t xml:space="preserve"> internal changes to the vehicle. The proposed design meets only the minimum accessibility requirements</w:t>
      </w:r>
      <w:r w:rsidR="00640DCE">
        <w:rPr>
          <w:rFonts w:ascii="Arial" w:hAnsi="Arial" w:cs="Arial"/>
          <w:sz w:val="28"/>
          <w:szCs w:val="28"/>
        </w:rPr>
        <w:t xml:space="preserve">, providing the 4 required forward facing priority seats and </w:t>
      </w:r>
      <w:r w:rsidR="007108A4">
        <w:rPr>
          <w:rFonts w:ascii="Arial" w:hAnsi="Arial" w:cs="Arial"/>
          <w:sz w:val="28"/>
          <w:szCs w:val="28"/>
        </w:rPr>
        <w:t xml:space="preserve">single </w:t>
      </w:r>
      <w:r w:rsidR="00640DCE">
        <w:rPr>
          <w:rFonts w:ascii="Arial" w:hAnsi="Arial" w:cs="Arial"/>
          <w:sz w:val="28"/>
          <w:szCs w:val="28"/>
        </w:rPr>
        <w:t>priority wheelchair user space. Most disappointingly the vehicle does</w:t>
      </w:r>
      <w:r w:rsidR="009C783C">
        <w:rPr>
          <w:rFonts w:ascii="Arial" w:hAnsi="Arial" w:cs="Arial"/>
          <w:sz w:val="28"/>
          <w:szCs w:val="28"/>
        </w:rPr>
        <w:t xml:space="preserve"> not</w:t>
      </w:r>
      <w:r w:rsidR="00640DCE">
        <w:rPr>
          <w:rFonts w:ascii="Arial" w:hAnsi="Arial" w:cs="Arial"/>
          <w:sz w:val="28"/>
          <w:szCs w:val="28"/>
        </w:rPr>
        <w:t xml:space="preserve"> provide alternative flexible space that could be used by amongst others</w:t>
      </w:r>
      <w:r w:rsidR="007108A4">
        <w:rPr>
          <w:rFonts w:ascii="Arial" w:hAnsi="Arial" w:cs="Arial"/>
          <w:sz w:val="28"/>
          <w:szCs w:val="28"/>
        </w:rPr>
        <w:t>,</w:t>
      </w:r>
      <w:r w:rsidR="00640DCE">
        <w:rPr>
          <w:rFonts w:ascii="Arial" w:hAnsi="Arial" w:cs="Arial"/>
          <w:sz w:val="28"/>
          <w:szCs w:val="28"/>
        </w:rPr>
        <w:t xml:space="preserve"> people with prams and buggies. This is a retrograde step in terms of current Metro and Foyle Metro provision and will certainly result in greater conflict between passengers and</w:t>
      </w:r>
      <w:r w:rsidR="007108A4">
        <w:rPr>
          <w:rFonts w:ascii="Arial" w:hAnsi="Arial" w:cs="Arial"/>
          <w:sz w:val="28"/>
          <w:szCs w:val="28"/>
        </w:rPr>
        <w:t xml:space="preserve"> as a result</w:t>
      </w:r>
      <w:r w:rsidR="00640DCE">
        <w:rPr>
          <w:rFonts w:ascii="Arial" w:hAnsi="Arial" w:cs="Arial"/>
          <w:sz w:val="28"/>
          <w:szCs w:val="28"/>
        </w:rPr>
        <w:t xml:space="preserve"> place drivers in an impossible position.</w:t>
      </w:r>
      <w:r w:rsidR="00456C6D">
        <w:rPr>
          <w:rFonts w:ascii="Arial" w:hAnsi="Arial" w:cs="Arial"/>
          <w:sz w:val="28"/>
          <w:szCs w:val="28"/>
        </w:rPr>
        <w:t xml:space="preserve"> Given the limitations the only recommendation the Committee can make is to remove the secondary doors from the design and utilise the additional space to provide flexible seating / a second wheelchair user space.</w:t>
      </w:r>
    </w:p>
    <w:p w14:paraId="3BB74101" w14:textId="77777777" w:rsidR="00456C6D" w:rsidRDefault="00456C6D" w:rsidP="007B4C80">
      <w:pPr>
        <w:rPr>
          <w:rFonts w:ascii="Arial" w:hAnsi="Arial" w:cs="Arial"/>
          <w:sz w:val="28"/>
          <w:szCs w:val="28"/>
        </w:rPr>
      </w:pPr>
    </w:p>
    <w:p w14:paraId="004587F7" w14:textId="77777777" w:rsidR="00456C6D" w:rsidRPr="008C50F5" w:rsidRDefault="00456C6D" w:rsidP="007B4C80">
      <w:pPr>
        <w:rPr>
          <w:rFonts w:ascii="Arial" w:hAnsi="Arial" w:cs="Arial"/>
          <w:b/>
          <w:bCs/>
          <w:sz w:val="28"/>
          <w:szCs w:val="28"/>
        </w:rPr>
      </w:pPr>
      <w:r w:rsidRPr="008C50F5">
        <w:rPr>
          <w:rFonts w:ascii="Arial" w:hAnsi="Arial" w:cs="Arial"/>
          <w:b/>
          <w:bCs/>
          <w:sz w:val="28"/>
          <w:szCs w:val="28"/>
        </w:rPr>
        <w:t>Provision of Acoustic Vehicle Alerting System (AVAS)</w:t>
      </w:r>
    </w:p>
    <w:p w14:paraId="067DBA31" w14:textId="77777777" w:rsidR="00456C6D" w:rsidRPr="008C50F5" w:rsidRDefault="00456C6D" w:rsidP="007B4C80">
      <w:pPr>
        <w:rPr>
          <w:rFonts w:ascii="Arial" w:hAnsi="Arial" w:cs="Arial"/>
          <w:b/>
          <w:bCs/>
          <w:sz w:val="28"/>
          <w:szCs w:val="28"/>
        </w:rPr>
      </w:pPr>
    </w:p>
    <w:p w14:paraId="205CAAC4" w14:textId="2289DD3D" w:rsidR="00456C6D" w:rsidRDefault="00456C6D" w:rsidP="007B4C80">
      <w:pPr>
        <w:rPr>
          <w:rFonts w:ascii="Arial" w:hAnsi="Arial" w:cs="Arial"/>
          <w:sz w:val="28"/>
          <w:szCs w:val="28"/>
        </w:rPr>
      </w:pPr>
      <w:r>
        <w:rPr>
          <w:rFonts w:ascii="Arial" w:hAnsi="Arial" w:cs="Arial"/>
          <w:sz w:val="28"/>
          <w:szCs w:val="28"/>
        </w:rPr>
        <w:t xml:space="preserve">The Committee welcomes the proposal to include AVAS on </w:t>
      </w:r>
      <w:r w:rsidR="006C313E">
        <w:rPr>
          <w:rFonts w:ascii="Arial" w:hAnsi="Arial" w:cs="Arial"/>
          <w:sz w:val="28"/>
          <w:szCs w:val="28"/>
        </w:rPr>
        <w:t xml:space="preserve">the new buses given the lack of engine noise and the potential hazard this creates for </w:t>
      </w:r>
      <w:r w:rsidR="007108A4">
        <w:rPr>
          <w:rFonts w:ascii="Arial" w:hAnsi="Arial" w:cs="Arial"/>
          <w:sz w:val="28"/>
          <w:szCs w:val="28"/>
        </w:rPr>
        <w:t xml:space="preserve">all </w:t>
      </w:r>
      <w:r w:rsidR="006C313E">
        <w:rPr>
          <w:rFonts w:ascii="Arial" w:hAnsi="Arial" w:cs="Arial"/>
          <w:sz w:val="28"/>
          <w:szCs w:val="28"/>
        </w:rPr>
        <w:t>pedestrians. Members have reviewed video footage of the system developed by TfL for operation on electric vehicles in London</w:t>
      </w:r>
      <w:r w:rsidR="000B4108">
        <w:rPr>
          <w:rFonts w:ascii="Arial" w:hAnsi="Arial" w:cs="Arial"/>
          <w:sz w:val="28"/>
          <w:szCs w:val="28"/>
        </w:rPr>
        <w:t>. Feedback has been mixed with the main concern being the unfamiliarity of the noise used in the London pilot. While welcoming the provision</w:t>
      </w:r>
      <w:r w:rsidR="00E727B2">
        <w:rPr>
          <w:rFonts w:ascii="Arial" w:hAnsi="Arial" w:cs="Arial"/>
          <w:sz w:val="28"/>
          <w:szCs w:val="28"/>
        </w:rPr>
        <w:t xml:space="preserve"> of</w:t>
      </w:r>
      <w:r w:rsidR="000B4108">
        <w:rPr>
          <w:rFonts w:ascii="Arial" w:hAnsi="Arial" w:cs="Arial"/>
          <w:sz w:val="28"/>
          <w:szCs w:val="28"/>
        </w:rPr>
        <w:t xml:space="preserve"> AVAS the Committee recommends that Translink undertake a trial </w:t>
      </w:r>
      <w:r w:rsidR="009C783C">
        <w:rPr>
          <w:rFonts w:ascii="Arial" w:hAnsi="Arial" w:cs="Arial"/>
          <w:sz w:val="28"/>
          <w:szCs w:val="28"/>
        </w:rPr>
        <w:t xml:space="preserve">following the introduction of buses </w:t>
      </w:r>
      <w:r w:rsidR="000B4108">
        <w:rPr>
          <w:rFonts w:ascii="Arial" w:hAnsi="Arial" w:cs="Arial"/>
          <w:sz w:val="28"/>
          <w:szCs w:val="28"/>
        </w:rPr>
        <w:t xml:space="preserve">involving a range of stakeholders including people with </w:t>
      </w:r>
      <w:r w:rsidR="009C783C">
        <w:rPr>
          <w:rFonts w:ascii="Arial" w:hAnsi="Arial" w:cs="Arial"/>
          <w:sz w:val="28"/>
          <w:szCs w:val="28"/>
        </w:rPr>
        <w:t xml:space="preserve">visual impairment, people with learning difficulties </w:t>
      </w:r>
      <w:r w:rsidR="009C783C">
        <w:rPr>
          <w:rFonts w:ascii="Arial" w:hAnsi="Arial" w:cs="Arial"/>
          <w:sz w:val="28"/>
          <w:szCs w:val="28"/>
        </w:rPr>
        <w:lastRenderedPageBreak/>
        <w:t xml:space="preserve">and people with </w:t>
      </w:r>
      <w:r w:rsidR="000B4108">
        <w:rPr>
          <w:rFonts w:ascii="Arial" w:hAnsi="Arial" w:cs="Arial"/>
          <w:sz w:val="28"/>
          <w:szCs w:val="28"/>
        </w:rPr>
        <w:t xml:space="preserve">dementia before making final decisions. Imtac is happy to work with </w:t>
      </w:r>
      <w:r w:rsidR="00D46D6F">
        <w:rPr>
          <w:rFonts w:ascii="Arial" w:hAnsi="Arial" w:cs="Arial"/>
          <w:sz w:val="28"/>
          <w:szCs w:val="28"/>
        </w:rPr>
        <w:t>Translink to facilitate this engagement.</w:t>
      </w:r>
    </w:p>
    <w:p w14:paraId="1E0FF590" w14:textId="77777777" w:rsidR="00D46D6F" w:rsidRDefault="00D46D6F" w:rsidP="007B4C80">
      <w:pPr>
        <w:rPr>
          <w:rFonts w:ascii="Arial" w:hAnsi="Arial" w:cs="Arial"/>
          <w:sz w:val="28"/>
          <w:szCs w:val="28"/>
        </w:rPr>
      </w:pPr>
    </w:p>
    <w:p w14:paraId="654C4620" w14:textId="77777777" w:rsidR="00D46D6F" w:rsidRPr="008C50F5" w:rsidRDefault="00D46D6F" w:rsidP="007B4C80">
      <w:pPr>
        <w:rPr>
          <w:rFonts w:ascii="Arial" w:hAnsi="Arial" w:cs="Arial"/>
          <w:b/>
          <w:bCs/>
          <w:sz w:val="28"/>
          <w:szCs w:val="28"/>
        </w:rPr>
      </w:pPr>
      <w:r w:rsidRPr="008C50F5">
        <w:rPr>
          <w:rFonts w:ascii="Arial" w:hAnsi="Arial" w:cs="Arial"/>
          <w:b/>
          <w:bCs/>
          <w:sz w:val="28"/>
          <w:szCs w:val="28"/>
        </w:rPr>
        <w:t>Conclusion</w:t>
      </w:r>
    </w:p>
    <w:p w14:paraId="3A2B33A5" w14:textId="77777777" w:rsidR="00D46D6F" w:rsidRDefault="00D46D6F" w:rsidP="007B4C80">
      <w:pPr>
        <w:rPr>
          <w:rFonts w:ascii="Arial" w:hAnsi="Arial" w:cs="Arial"/>
          <w:sz w:val="28"/>
          <w:szCs w:val="28"/>
          <w:u w:val="single"/>
        </w:rPr>
      </w:pPr>
    </w:p>
    <w:p w14:paraId="26692665" w14:textId="557DCF1D" w:rsidR="00D46D6F" w:rsidRPr="00D46D6F" w:rsidRDefault="00D46D6F" w:rsidP="007B4C80">
      <w:pPr>
        <w:rPr>
          <w:rFonts w:ascii="Arial" w:hAnsi="Arial" w:cs="Arial"/>
          <w:sz w:val="28"/>
          <w:szCs w:val="28"/>
        </w:rPr>
      </w:pPr>
      <w:r>
        <w:rPr>
          <w:rFonts w:ascii="Arial" w:hAnsi="Arial" w:cs="Arial"/>
          <w:sz w:val="28"/>
          <w:szCs w:val="28"/>
        </w:rPr>
        <w:t>Vehicle design is a challenge. With space finite the</w:t>
      </w:r>
      <w:r w:rsidR="00DA739F">
        <w:rPr>
          <w:rFonts w:ascii="Arial" w:hAnsi="Arial" w:cs="Arial"/>
          <w:sz w:val="28"/>
          <w:szCs w:val="28"/>
        </w:rPr>
        <w:t xml:space="preserve"> scope to make significant change is limited</w:t>
      </w:r>
      <w:r>
        <w:rPr>
          <w:rFonts w:ascii="Arial" w:hAnsi="Arial" w:cs="Arial"/>
          <w:sz w:val="28"/>
          <w:szCs w:val="28"/>
        </w:rPr>
        <w:t xml:space="preserve"> and finding a perfect solution is impossible. As indicated the current design proposals for the zero emission vehicles create additional challenges due to the decision to install secondary doors and, in the case of hydrogen vehicles, the fuel storage requirements</w:t>
      </w:r>
      <w:r w:rsidR="001226FE">
        <w:rPr>
          <w:rFonts w:ascii="Arial" w:hAnsi="Arial" w:cs="Arial"/>
          <w:sz w:val="28"/>
          <w:szCs w:val="28"/>
        </w:rPr>
        <w:t>. Although in some ways these restrictions can be worked around with the Battery Electric vehicle this is not possible with the Hydrogen Fuel Cell Electric vehicle. For this reason, and because of concerns about incompatibility with current infrastructure</w:t>
      </w:r>
      <w:r w:rsidR="007108A4">
        <w:rPr>
          <w:rFonts w:ascii="Arial" w:hAnsi="Arial" w:cs="Arial"/>
          <w:sz w:val="28"/>
          <w:szCs w:val="28"/>
        </w:rPr>
        <w:t xml:space="preserve"> provision at stops</w:t>
      </w:r>
      <w:r w:rsidR="001226FE">
        <w:rPr>
          <w:rFonts w:ascii="Arial" w:hAnsi="Arial" w:cs="Arial"/>
          <w:sz w:val="28"/>
          <w:szCs w:val="28"/>
        </w:rPr>
        <w:t>, the Committee recommends that the decision to use secondary doors be reviewed.</w:t>
      </w:r>
    </w:p>
    <w:sectPr w:rsidR="00D46D6F" w:rsidRPr="00D46D6F" w:rsidSect="00921976">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0481C" w14:textId="77777777" w:rsidR="009E13AC" w:rsidRDefault="009E13AC" w:rsidP="004871B4">
      <w:r>
        <w:separator/>
      </w:r>
    </w:p>
  </w:endnote>
  <w:endnote w:type="continuationSeparator" w:id="0">
    <w:p w14:paraId="2CC9DD20" w14:textId="77777777" w:rsidR="009E13AC" w:rsidRDefault="009E13AC" w:rsidP="0048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6730061"/>
      <w:docPartObj>
        <w:docPartGallery w:val="Page Numbers (Bottom of Page)"/>
        <w:docPartUnique/>
      </w:docPartObj>
    </w:sdtPr>
    <w:sdtEndPr>
      <w:rPr>
        <w:rStyle w:val="PageNumber"/>
      </w:rPr>
    </w:sdtEndPr>
    <w:sdtContent>
      <w:p w14:paraId="6B0C3EA2" w14:textId="77777777" w:rsidR="001226FE" w:rsidRDefault="00921976" w:rsidP="0051119F">
        <w:pPr>
          <w:pStyle w:val="Footer"/>
          <w:framePr w:wrap="none" w:vAnchor="text" w:hAnchor="margin" w:xAlign="center" w:y="1"/>
          <w:rPr>
            <w:rStyle w:val="PageNumber"/>
          </w:rPr>
        </w:pPr>
        <w:r>
          <w:rPr>
            <w:rStyle w:val="PageNumber"/>
          </w:rPr>
          <w:fldChar w:fldCharType="begin"/>
        </w:r>
        <w:r w:rsidR="001226FE">
          <w:rPr>
            <w:rStyle w:val="PageNumber"/>
          </w:rPr>
          <w:instrText xml:space="preserve"> PAGE </w:instrText>
        </w:r>
        <w:r>
          <w:rPr>
            <w:rStyle w:val="PageNumber"/>
          </w:rPr>
          <w:fldChar w:fldCharType="end"/>
        </w:r>
      </w:p>
    </w:sdtContent>
  </w:sdt>
  <w:p w14:paraId="4FCBC51C" w14:textId="77777777" w:rsidR="001226FE" w:rsidRDefault="00122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5114714"/>
      <w:docPartObj>
        <w:docPartGallery w:val="Page Numbers (Bottom of Page)"/>
        <w:docPartUnique/>
      </w:docPartObj>
    </w:sdtPr>
    <w:sdtEndPr>
      <w:rPr>
        <w:rStyle w:val="PageNumber"/>
      </w:rPr>
    </w:sdtEndPr>
    <w:sdtContent>
      <w:p w14:paraId="0D88EA54" w14:textId="77777777" w:rsidR="001226FE" w:rsidRDefault="00921976" w:rsidP="0051119F">
        <w:pPr>
          <w:pStyle w:val="Footer"/>
          <w:framePr w:wrap="none" w:vAnchor="text" w:hAnchor="margin" w:xAlign="center" w:y="1"/>
          <w:rPr>
            <w:rStyle w:val="PageNumber"/>
          </w:rPr>
        </w:pPr>
        <w:r>
          <w:rPr>
            <w:rStyle w:val="PageNumber"/>
          </w:rPr>
          <w:fldChar w:fldCharType="begin"/>
        </w:r>
        <w:r w:rsidR="001226FE">
          <w:rPr>
            <w:rStyle w:val="PageNumber"/>
          </w:rPr>
          <w:instrText xml:space="preserve"> PAGE </w:instrText>
        </w:r>
        <w:r>
          <w:rPr>
            <w:rStyle w:val="PageNumber"/>
          </w:rPr>
          <w:fldChar w:fldCharType="separate"/>
        </w:r>
        <w:r w:rsidR="007108A4">
          <w:rPr>
            <w:rStyle w:val="PageNumber"/>
            <w:noProof/>
          </w:rPr>
          <w:t>4</w:t>
        </w:r>
        <w:r>
          <w:rPr>
            <w:rStyle w:val="PageNumber"/>
          </w:rPr>
          <w:fldChar w:fldCharType="end"/>
        </w:r>
      </w:p>
    </w:sdtContent>
  </w:sdt>
  <w:p w14:paraId="58926145" w14:textId="77777777" w:rsidR="001226FE" w:rsidRDefault="00122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B3E34" w14:textId="77777777" w:rsidR="009E13AC" w:rsidRDefault="009E13AC" w:rsidP="004871B4">
      <w:r>
        <w:separator/>
      </w:r>
    </w:p>
  </w:footnote>
  <w:footnote w:type="continuationSeparator" w:id="0">
    <w:p w14:paraId="17053184" w14:textId="77777777" w:rsidR="009E13AC" w:rsidRDefault="009E13AC" w:rsidP="004871B4">
      <w:r>
        <w:continuationSeparator/>
      </w:r>
    </w:p>
  </w:footnote>
  <w:footnote w:id="1">
    <w:p w14:paraId="0F6A2127" w14:textId="77777777" w:rsidR="004871B4" w:rsidRDefault="004871B4">
      <w:pPr>
        <w:pStyle w:val="FootnoteText"/>
      </w:pPr>
      <w:r>
        <w:rPr>
          <w:rStyle w:val="FootnoteReference"/>
        </w:rPr>
        <w:footnoteRef/>
      </w:r>
      <w:r>
        <w:t xml:space="preserve"> </w:t>
      </w:r>
      <w:hyperlink r:id="rId1" w:history="1">
        <w:r w:rsidRPr="004871B4">
          <w:rPr>
            <w:rStyle w:val="Hyperlink"/>
            <w:rFonts w:ascii="Arial" w:hAnsi="Arial" w:cs="Arial"/>
            <w:sz w:val="28"/>
            <w:szCs w:val="28"/>
          </w:rPr>
          <w:t>https://www.imtac.org.uk/publications/recommendations-imtac-future-translink-bus-procurement</w:t>
        </w:r>
      </w:hyperlink>
      <w:r>
        <w:t xml:space="preserve"> </w:t>
      </w:r>
    </w:p>
  </w:footnote>
  <w:footnote w:id="2">
    <w:p w14:paraId="75868EDC" w14:textId="77777777" w:rsidR="007B4C80" w:rsidRPr="007B4C80" w:rsidRDefault="007B4C80">
      <w:pPr>
        <w:pStyle w:val="FootnoteText"/>
        <w:rPr>
          <w:rFonts w:ascii="Arial" w:hAnsi="Arial" w:cs="Arial"/>
          <w:sz w:val="28"/>
          <w:szCs w:val="28"/>
        </w:rPr>
      </w:pPr>
      <w:r w:rsidRPr="007B4C80">
        <w:rPr>
          <w:rStyle w:val="FootnoteReference"/>
          <w:rFonts w:ascii="Arial" w:hAnsi="Arial" w:cs="Arial"/>
          <w:sz w:val="28"/>
          <w:szCs w:val="28"/>
        </w:rPr>
        <w:footnoteRef/>
      </w:r>
      <w:r w:rsidRPr="007B4C80">
        <w:rPr>
          <w:rFonts w:ascii="Arial" w:hAnsi="Arial" w:cs="Arial"/>
          <w:sz w:val="28"/>
          <w:szCs w:val="28"/>
        </w:rPr>
        <w:t xml:space="preserve"> </w:t>
      </w:r>
      <w:hyperlink r:id="rId2" w:history="1">
        <w:r w:rsidRPr="0051119F">
          <w:rPr>
            <w:rStyle w:val="Hyperlink"/>
            <w:rFonts w:ascii="Arial" w:hAnsi="Arial" w:cs="Arial"/>
            <w:sz w:val="28"/>
            <w:szCs w:val="28"/>
          </w:rPr>
          <w:t>https://www.infrastructure-ni.gov.uk/publications/bus-stop-design-guide-october-2005-id-017</w:t>
        </w:r>
      </w:hyperlink>
      <w:r>
        <w:rPr>
          <w:rFonts w:ascii="Arial" w:hAnsi="Arial" w:cs="Arial"/>
          <w:sz w:val="28"/>
          <w:szCs w:val="28"/>
        </w:rPr>
        <w:t xml:space="preserve"> </w:t>
      </w:r>
    </w:p>
  </w:footnote>
  <w:footnote w:id="3">
    <w:p w14:paraId="462388E1" w14:textId="77777777" w:rsidR="00437199" w:rsidRDefault="00437199">
      <w:pPr>
        <w:pStyle w:val="FootnoteText"/>
      </w:pPr>
      <w:r>
        <w:rPr>
          <w:rStyle w:val="FootnoteReference"/>
        </w:rPr>
        <w:footnoteRef/>
      </w:r>
      <w:r>
        <w:t xml:space="preserve"> </w:t>
      </w:r>
      <w:hyperlink r:id="rId3" w:history="1">
        <w:r w:rsidRPr="00437199">
          <w:rPr>
            <w:rStyle w:val="Hyperlink"/>
            <w:rFonts w:ascii="Arial" w:hAnsi="Arial" w:cs="Arial"/>
            <w:sz w:val="28"/>
            <w:szCs w:val="28"/>
          </w:rPr>
          <w:t>http://content.tfl.gov.uk/bus-stop-design-guidance.pdf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65D79"/>
    <w:multiLevelType w:val="hybridMultilevel"/>
    <w:tmpl w:val="90883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C59F1"/>
    <w:multiLevelType w:val="hybridMultilevel"/>
    <w:tmpl w:val="9AC4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B4"/>
    <w:rsid w:val="000332C1"/>
    <w:rsid w:val="00063C93"/>
    <w:rsid w:val="000B4108"/>
    <w:rsid w:val="000F0433"/>
    <w:rsid w:val="001157F4"/>
    <w:rsid w:val="001226FE"/>
    <w:rsid w:val="001C22C0"/>
    <w:rsid w:val="001F6059"/>
    <w:rsid w:val="00330A80"/>
    <w:rsid w:val="003660E9"/>
    <w:rsid w:val="00437199"/>
    <w:rsid w:val="00456C6D"/>
    <w:rsid w:val="004871B4"/>
    <w:rsid w:val="00640DCE"/>
    <w:rsid w:val="006705E8"/>
    <w:rsid w:val="006C313E"/>
    <w:rsid w:val="007108A4"/>
    <w:rsid w:val="007B4C80"/>
    <w:rsid w:val="008C50F5"/>
    <w:rsid w:val="00921976"/>
    <w:rsid w:val="00940A9A"/>
    <w:rsid w:val="009C783C"/>
    <w:rsid w:val="009E13AC"/>
    <w:rsid w:val="00A93BCA"/>
    <w:rsid w:val="00AB3301"/>
    <w:rsid w:val="00C06462"/>
    <w:rsid w:val="00C1471A"/>
    <w:rsid w:val="00C2438C"/>
    <w:rsid w:val="00C54E10"/>
    <w:rsid w:val="00D46D6F"/>
    <w:rsid w:val="00DA739F"/>
    <w:rsid w:val="00DF68C4"/>
    <w:rsid w:val="00E727B2"/>
    <w:rsid w:val="00F8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7DED"/>
  <w15:docId w15:val="{E990670F-0D4D-8A40-AB62-797EB2B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71B4"/>
    <w:rPr>
      <w:sz w:val="20"/>
      <w:szCs w:val="20"/>
    </w:rPr>
  </w:style>
  <w:style w:type="character" w:customStyle="1" w:styleId="FootnoteTextChar">
    <w:name w:val="Footnote Text Char"/>
    <w:basedOn w:val="DefaultParagraphFont"/>
    <w:link w:val="FootnoteText"/>
    <w:uiPriority w:val="99"/>
    <w:semiHidden/>
    <w:rsid w:val="004871B4"/>
    <w:rPr>
      <w:sz w:val="20"/>
      <w:szCs w:val="20"/>
    </w:rPr>
  </w:style>
  <w:style w:type="character" w:styleId="FootnoteReference">
    <w:name w:val="footnote reference"/>
    <w:basedOn w:val="DefaultParagraphFont"/>
    <w:uiPriority w:val="99"/>
    <w:semiHidden/>
    <w:unhideWhenUsed/>
    <w:rsid w:val="004871B4"/>
    <w:rPr>
      <w:vertAlign w:val="superscript"/>
    </w:rPr>
  </w:style>
  <w:style w:type="character" w:styleId="Hyperlink">
    <w:name w:val="Hyperlink"/>
    <w:basedOn w:val="DefaultParagraphFont"/>
    <w:uiPriority w:val="99"/>
    <w:unhideWhenUsed/>
    <w:rsid w:val="004871B4"/>
    <w:rPr>
      <w:color w:val="0563C1" w:themeColor="hyperlink"/>
      <w:u w:val="single"/>
    </w:rPr>
  </w:style>
  <w:style w:type="character" w:customStyle="1" w:styleId="UnresolvedMention1">
    <w:name w:val="Unresolved Mention1"/>
    <w:basedOn w:val="DefaultParagraphFont"/>
    <w:uiPriority w:val="99"/>
    <w:semiHidden/>
    <w:unhideWhenUsed/>
    <w:rsid w:val="004871B4"/>
    <w:rPr>
      <w:color w:val="605E5C"/>
      <w:shd w:val="clear" w:color="auto" w:fill="E1DFDD"/>
    </w:rPr>
  </w:style>
  <w:style w:type="paragraph" w:styleId="ListParagraph">
    <w:name w:val="List Paragraph"/>
    <w:basedOn w:val="Normal"/>
    <w:uiPriority w:val="34"/>
    <w:qFormat/>
    <w:rsid w:val="007B4C80"/>
    <w:pPr>
      <w:ind w:left="720"/>
      <w:contextualSpacing/>
    </w:pPr>
  </w:style>
  <w:style w:type="paragraph" w:styleId="Footer">
    <w:name w:val="footer"/>
    <w:basedOn w:val="Normal"/>
    <w:link w:val="FooterChar"/>
    <w:uiPriority w:val="99"/>
    <w:unhideWhenUsed/>
    <w:rsid w:val="001226FE"/>
    <w:pPr>
      <w:tabs>
        <w:tab w:val="center" w:pos="4513"/>
        <w:tab w:val="right" w:pos="9026"/>
      </w:tabs>
    </w:pPr>
  </w:style>
  <w:style w:type="character" w:customStyle="1" w:styleId="FooterChar">
    <w:name w:val="Footer Char"/>
    <w:basedOn w:val="DefaultParagraphFont"/>
    <w:link w:val="Footer"/>
    <w:uiPriority w:val="99"/>
    <w:rsid w:val="001226FE"/>
  </w:style>
  <w:style w:type="character" w:styleId="PageNumber">
    <w:name w:val="page number"/>
    <w:basedOn w:val="DefaultParagraphFont"/>
    <w:uiPriority w:val="99"/>
    <w:semiHidden/>
    <w:unhideWhenUsed/>
    <w:rsid w:val="001226FE"/>
  </w:style>
  <w:style w:type="paragraph" w:styleId="BalloonText">
    <w:name w:val="Balloon Text"/>
    <w:basedOn w:val="Normal"/>
    <w:link w:val="BalloonTextChar"/>
    <w:uiPriority w:val="99"/>
    <w:semiHidden/>
    <w:unhideWhenUsed/>
    <w:rsid w:val="007108A4"/>
    <w:rPr>
      <w:rFonts w:ascii="Tahoma" w:hAnsi="Tahoma" w:cs="Tahoma"/>
      <w:sz w:val="16"/>
      <w:szCs w:val="16"/>
    </w:rPr>
  </w:style>
  <w:style w:type="character" w:customStyle="1" w:styleId="BalloonTextChar">
    <w:name w:val="Balloon Text Char"/>
    <w:basedOn w:val="DefaultParagraphFont"/>
    <w:link w:val="BalloonText"/>
    <w:uiPriority w:val="99"/>
    <w:semiHidden/>
    <w:rsid w:val="007108A4"/>
    <w:rPr>
      <w:rFonts w:ascii="Tahoma" w:hAnsi="Tahoma" w:cs="Tahoma"/>
      <w:sz w:val="16"/>
      <w:szCs w:val="16"/>
    </w:rPr>
  </w:style>
  <w:style w:type="character" w:styleId="CommentReference">
    <w:name w:val="annotation reference"/>
    <w:basedOn w:val="DefaultParagraphFont"/>
    <w:uiPriority w:val="99"/>
    <w:semiHidden/>
    <w:unhideWhenUsed/>
    <w:rsid w:val="007108A4"/>
    <w:rPr>
      <w:sz w:val="16"/>
      <w:szCs w:val="16"/>
    </w:rPr>
  </w:style>
  <w:style w:type="paragraph" w:styleId="CommentText">
    <w:name w:val="annotation text"/>
    <w:basedOn w:val="Normal"/>
    <w:link w:val="CommentTextChar"/>
    <w:uiPriority w:val="99"/>
    <w:semiHidden/>
    <w:unhideWhenUsed/>
    <w:rsid w:val="007108A4"/>
    <w:rPr>
      <w:sz w:val="20"/>
      <w:szCs w:val="20"/>
    </w:rPr>
  </w:style>
  <w:style w:type="character" w:customStyle="1" w:styleId="CommentTextChar">
    <w:name w:val="Comment Text Char"/>
    <w:basedOn w:val="DefaultParagraphFont"/>
    <w:link w:val="CommentText"/>
    <w:uiPriority w:val="99"/>
    <w:semiHidden/>
    <w:rsid w:val="007108A4"/>
    <w:rPr>
      <w:sz w:val="20"/>
      <w:szCs w:val="20"/>
    </w:rPr>
  </w:style>
  <w:style w:type="paragraph" w:styleId="CommentSubject">
    <w:name w:val="annotation subject"/>
    <w:basedOn w:val="CommentText"/>
    <w:next w:val="CommentText"/>
    <w:link w:val="CommentSubjectChar"/>
    <w:uiPriority w:val="99"/>
    <w:semiHidden/>
    <w:unhideWhenUsed/>
    <w:rsid w:val="007108A4"/>
    <w:rPr>
      <w:b/>
      <w:bCs/>
    </w:rPr>
  </w:style>
  <w:style w:type="character" w:customStyle="1" w:styleId="CommentSubjectChar">
    <w:name w:val="Comment Subject Char"/>
    <w:basedOn w:val="CommentTextChar"/>
    <w:link w:val="CommentSubject"/>
    <w:uiPriority w:val="99"/>
    <w:semiHidden/>
    <w:rsid w:val="007108A4"/>
    <w:rPr>
      <w:b/>
      <w:bCs/>
      <w:sz w:val="20"/>
      <w:szCs w:val="20"/>
    </w:rPr>
  </w:style>
  <w:style w:type="paragraph" w:styleId="Revision">
    <w:name w:val="Revision"/>
    <w:hidden/>
    <w:uiPriority w:val="99"/>
    <w:semiHidden/>
    <w:rsid w:val="009C7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ontent.tfl.gov.uk/bus-stop-design-guidance.pdf" TargetMode="External"/><Relationship Id="rId2" Type="http://schemas.openxmlformats.org/officeDocument/2006/relationships/hyperlink" Target="https://www.infrastructure-ni.gov.uk/publications/bus-stop-design-guide-october-2005-id-017" TargetMode="External"/><Relationship Id="rId1" Type="http://schemas.openxmlformats.org/officeDocument/2006/relationships/hyperlink" Target="https://www.imtac.org.uk/publications/recommendations-imtac-future-translink-bus-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7840B-D91A-48DB-B24B-29B4DA60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Molly Lorimer</cp:lastModifiedBy>
  <cp:revision>2</cp:revision>
  <dcterms:created xsi:type="dcterms:W3CDTF">2020-12-18T09:37:00Z</dcterms:created>
  <dcterms:modified xsi:type="dcterms:W3CDTF">2020-12-18T09:37:00Z</dcterms:modified>
</cp:coreProperties>
</file>